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31.png" ContentType="image/png"/>
  <Override PartName="/word/media/rId36.png" ContentType="image/png"/>
  <Override PartName="/word/media/rId43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Schwa Density as a Phonological Stylistic Classifier:</w:t>
      </w:r>
      <w:r>
        <w:br/>
      </w:r>
      <w:r>
        <w:t xml:space="preserve">Primary Stylistic, Secondary Modality</w:t>
      </w:r>
      <w:r>
        <w:br/>
      </w:r>
      <w:r>
        <w:t xml:space="preserve">A Four-Corpus Pre-Registered Replication</w:t>
      </w:r>
    </w:p>
    <w:p>
      <w:pPr>
        <w:pStyle w:val="Author"/>
      </w:pPr>
      <w:r>
        <w:t xml:space="preserve">Kyle Townsend</w:t>
      </w:r>
    </w:p>
    <w:p>
      <w:pPr>
        <w:pStyle w:val="Author"/>
      </w:pPr>
      <w:r>
        <w:t xml:space="preserve">Claude (analysis collaborator)</w:t>
      </w:r>
    </w:p>
    <w:p>
      <w:pPr>
        <w:pStyle w:val="Date"/>
      </w:pPr>
      <w:r>
        <w:t xml:space="preserve">2026-04-16</w:t>
      </w:r>
    </w:p>
    <w:p>
      <w:pPr>
        <w:pStyle w:val="AbstractTitle"/>
      </w:pPr>
      <w:r>
        <w:t xml:space="preserve">Abstract</w:t>
      </w:r>
    </w:p>
    <w:p>
      <w:pPr>
        <w:pStyle w:val="Abstract"/>
      </w:pPr>
      <w:r>
        <w:t xml:space="preserve">We test whether schwa density, the proportion of vowel phones in a text</w:t>
      </w:r>
      <w:r>
        <w:t xml:space="preserve"> </w:t>
      </w:r>
      <w:r>
        <w:t xml:space="preserve">that are unstressed schwa (CMUdict</w:t>
      </w:r>
      <w:r>
        <w:t xml:space="preserve"> </w:t>
      </w:r>
      <w:r>
        <w:rPr>
          <w:rStyle w:val="VerbatimChar"/>
        </w:rPr>
        <w:t xml:space="preserve">AH0</w:t>
      </w:r>
      <w:r>
        <w:t xml:space="preserve">), can serve as a</w:t>
      </w:r>
      <w:r>
        <w:t xml:space="preserve"> </w:t>
      </w:r>
      <w:r>
        <w:t xml:space="preserve">phonologically motivated single-feature register classifier in English</w:t>
      </w:r>
      <w:r>
        <w:t xml:space="preserve"> </w:t>
      </w:r>
      <w:r>
        <w:t xml:space="preserve">text. A pre-registered confirmatory plan locking three hypothesis tests</w:t>
      </w:r>
      <w:r>
        <w:t xml:space="preserve"> </w:t>
      </w:r>
      <w:r>
        <w:t xml:space="preserve">(minimum effect, non-inferiority versus Flesch–Kincaid grade level, and</w:t>
      </w:r>
      <w:r>
        <w:t xml:space="preserve"> </w:t>
      </w:r>
      <w:r>
        <w:t xml:space="preserve">correlation replication) was applied to two pre-registered corpora and</w:t>
      </w:r>
      <w:r>
        <w:t xml:space="preserve"> </w:t>
      </w:r>
      <w:r>
        <w:t xml:space="preserve">two additional sensitivity corpora: NLTK multi-source (</w:t>
      </w:r>
      <m:oMath>
        <m:r>
          <m:t>N</m:t>
        </m:r>
        <m:r>
          <m:rPr>
            <m:sty m:val="p"/>
          </m:rPr>
          <m:t>=</m:t>
        </m:r>
        <m:r>
          <m:t>164</m:t>
        </m:r>
      </m:oMath>
      <w:r>
        <w:t xml:space="preserve">), the</w:t>
      </w:r>
      <w:r>
        <w:t xml:space="preserve"> </w:t>
      </w:r>
      <w:r>
        <w:t xml:space="preserve">Standardized Project Gutenberg Corpus (</w:t>
      </w:r>
      <m:oMath>
        <m:r>
          <m:t>N</m:t>
        </m:r>
        <m:r>
          <m:rPr>
            <m:sty m:val="p"/>
          </m:rPr>
          <m:t>=</m:t>
        </m:r>
        <m:r>
          <m:t>2</m:t>
        </m:r>
        <m:r>
          <m:rPr>
            <m:sty m:val="p"/>
          </m:rPr>
          <m:t>,</m:t>
        </m:r>
        <m:r>
          <m:t>767</m:t>
        </m:r>
      </m:oMath>
      <w:r>
        <w:t xml:space="preserve">), the Brown</w:t>
      </w:r>
      <w:r>
        <w:t xml:space="preserve"> </w:t>
      </w:r>
      <w:r>
        <w:t xml:space="preserve">corpus (</w:t>
      </w:r>
      <m:oMath>
        <m:r>
          <m:t>N</m:t>
        </m:r>
        <m:r>
          <m:rPr>
            <m:sty m:val="p"/>
          </m:rPr>
          <m:t>=</m:t>
        </m:r>
        <m:r>
          <m:t>313</m:t>
        </m:r>
      </m:oMath>
      <w:r>
        <w:t xml:space="preserve"> </w:t>
      </w:r>
      <w:r>
        <w:t xml:space="preserve">qualifying), and the Open American National Corpus</w:t>
      </w:r>
      <w:r>
        <w:t xml:space="preserve"> </w:t>
      </w:r>
      <w:r>
        <w:t xml:space="preserve">(</w:t>
      </w:r>
      <m:oMath>
        <m:r>
          <m:t>N</m:t>
        </m:r>
        <m:r>
          <m:rPr>
            <m:sty m:val="p"/>
          </m:rPr>
          <m:t>=</m:t>
        </m:r>
        <m:r>
          <m:t>4</m:t>
        </m:r>
        <m:r>
          <m:rPr>
            <m:sty m:val="p"/>
          </m:rPr>
          <m:t>,</m:t>
        </m:r>
        <m:r>
          <m:t>375</m:t>
        </m:r>
      </m:oMath>
      <w:r>
        <w:t xml:space="preserve">). Both pre-registered confirmatory tests passed: schwa</w:t>
      </w:r>
      <w:r>
        <w:t xml:space="preserve"> </w:t>
      </w:r>
      <w:r>
        <w:t xml:space="preserve">density discriminated registers above the crud floor and matched</w:t>
      </w:r>
      <w:r>
        <w:t xml:space="preserve"> </w:t>
      </w:r>
      <w:r>
        <w:t xml:space="preserve">Flesch–Kincaid within the pre-specified non-inferiority margin. Joint</w:t>
      </w:r>
      <w:r>
        <w:t xml:space="preserve"> </w:t>
      </w:r>
      <w:r>
        <w:t xml:space="preserve">partial-</w:t>
      </w:r>
      <m:oMath>
        <m:sSup>
          <m:e>
            <m:r>
              <m:t>η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controls for syllables per word, mean word length,</w:t>
      </w:r>
      <w:r>
        <w:t xml:space="preserve"> </w:t>
      </w:r>
      <w:r>
        <w:t xml:space="preserve">and Latinate ratio show that schwa retains 46–53% of its</w:t>
      </w:r>
      <w:r>
        <w:t xml:space="preserve"> </w:t>
      </w:r>
      <w:r>
        <w:t xml:space="preserve">register-discrimination on the two pre-registered corpora even after</w:t>
      </w:r>
      <w:r>
        <w:t xml:space="preserve"> </w:t>
      </w:r>
      <w:r>
        <w:t xml:space="preserve">absorbing surface lexical signal, supporting the stronger phonological</w:t>
      </w:r>
      <w:r>
        <w:t xml:space="preserve"> </w:t>
      </w:r>
      <w:r>
        <w:t xml:space="preserve">content claim. A function-word ablation (masking the 198 NLTK English</w:t>
      </w:r>
      <w:r>
        <w:t xml:space="preserve"> </w:t>
      </w:r>
      <w:r>
        <w:t xml:space="preserve">stopwords before computing schwa density) preserves or amplifies</w:t>
      </w:r>
      <w:r>
        <w:t xml:space="preserve"> </w:t>
      </w:r>
      <w:r>
        <w:t xml:space="preserve">register discrimination on all four corpora (</w:t>
      </w:r>
      <m:oMath>
        <m:sSup>
          <m:e>
            <m:r>
              <m:t>η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retention</w:t>
      </w:r>
      <w:r>
        <w:t xml:space="preserve"> </w:t>
      </w:r>
      <w:r>
        <w:t xml:space="preserve">0.93–1.27), ruling out function-word frequency as a confound.</w:t>
      </w:r>
      <w:r>
        <w:t xml:space="preserve"> </w:t>
      </w:r>
      <w:r>
        <w:t xml:space="preserve">The ablation result formalises the paper’s principal finding: schwa</w:t>
      </w:r>
      <w:r>
        <w:t xml:space="preserve"> </w:t>
      </w:r>
      <w:r>
        <w:t xml:space="preserve">density operates as a</w:t>
      </w:r>
      <w:r>
        <w:t xml:space="preserve"> </w:t>
      </w:r>
      <w:r>
        <w:rPr>
          <w:i/>
          <w:iCs/>
        </w:rPr>
        <w:t xml:space="preserve">Primary Stylistic Feature</w:t>
      </w:r>
      <w:r>
        <w:t xml:space="preserve"> </w:t>
      </w:r>
      <w:r>
        <w:t xml:space="preserve">(NLTK, SPGC,</w:t>
      </w:r>
      <w:r>
        <w:t xml:space="preserve"> </w:t>
      </w:r>
      <w:r>
        <w:t xml:space="preserve">Brown; content-word phonological variation, unmasked by stopword</w:t>
      </w:r>
      <w:r>
        <w:t xml:space="preserve"> </w:t>
      </w:r>
      <w:r>
        <w:t xml:space="preserve">removal) and as a</w:t>
      </w:r>
      <w:r>
        <w:t xml:space="preserve"> </w:t>
      </w:r>
      <w:r>
        <w:rPr>
          <w:i/>
          <w:iCs/>
        </w:rPr>
        <w:t xml:space="preserve">Secondary Modality Feature</w:t>
      </w:r>
      <w:r>
        <w:t xml:space="preserve"> </w:t>
      </w:r>
      <w:r>
        <w:t xml:space="preserve">(OANC; partially</w:t>
      </w:r>
      <w:r>
        <w:t xml:space="preserve"> </w:t>
      </w:r>
      <w:r>
        <w:t xml:space="preserve">dependent on function-word frequency, slightly attenuated by masking).</w:t>
      </w:r>
      <w:r>
        <w:t xml:space="preserve"> </w:t>
      </w:r>
      <w:r>
        <w:t xml:space="preserve">The measure is most valuable for within-prose stylistic discrimination</w:t>
      </w:r>
      <w:r>
        <w:t xml:space="preserve"> </w:t>
      </w:r>
      <w:r>
        <w:t xml:space="preserve">and degrades to a syllables-per-word proxy when register variation</w:t>
      </w:r>
      <w:r>
        <w:t xml:space="preserve"> </w:t>
      </w:r>
      <w:r>
        <w:t xml:space="preserve">reflects cross-modality contrasts (speech versus technical writing).</w:t>
      </w:r>
    </w:p>
    <w:bookmarkStart w:id="20" w:name="introduction"/>
    <w:p>
      <w:pPr>
        <w:pStyle w:val="Heading1"/>
      </w:pPr>
      <w:r>
        <w:t xml:space="preserve">Introduction</w:t>
      </w:r>
    </w:p>
    <w:p>
      <w:pPr>
        <w:pStyle w:val="FirstParagraph"/>
      </w:pPr>
      <w:r>
        <w:t xml:space="preserve">Stylometric register classification draws from a well-developed</w:t>
      </w:r>
      <w:r>
        <w:t xml:space="preserve"> </w:t>
      </w:r>
      <w:r>
        <w:t xml:space="preserve">toolkit: Biber’s multi-dimensional analysis (Biber, 1988),</w:t>
      </w:r>
      <w:r>
        <w:t xml:space="preserve"> </w:t>
      </w:r>
      <w:r>
        <w:t xml:space="preserve">Flesch–Kincaid (FK) grade level (Kincaid et al., 1975), the SMOG index</w:t>
      </w:r>
      <w:r>
        <w:t xml:space="preserve"> </w:t>
      </w:r>
      <w:r>
        <w:t xml:space="preserve">(McLaughlin, 1969), and more recent supervised approaches grounded</w:t>
      </w:r>
      <w:r>
        <w:t xml:space="preserve"> </w:t>
      </w:r>
      <w:r>
        <w:t xml:space="preserve">in lexical and syntactic features (Grieve, Clarke, &amp; Chiang, 2023). What this toolkit</w:t>
      </w:r>
      <w:r>
        <w:t xml:space="preserve"> </w:t>
      </w:r>
      <w:r>
        <w:t xml:space="preserve">lacks is a phoneme-level single-feature measure that is robust to</w:t>
      </w:r>
      <w:r>
        <w:t xml:space="preserve"> </w:t>
      </w:r>
      <w:r>
        <w:t xml:space="preserve">preprocessing variation and conceptually transparent.</w:t>
      </w:r>
    </w:p>
    <w:p>
      <w:pPr>
        <w:pStyle w:val="BodyText"/>
      </w:pPr>
      <w:r>
        <w:t xml:space="preserve">We propose schwa density, defined as the proportion of vowel phones in</w:t>
      </w:r>
      <w:r>
        <w:t xml:space="preserve"> </w:t>
      </w:r>
      <w:r>
        <w:t xml:space="preserve">a text that are unstressed schwa (</w:t>
      </w:r>
      <w:r>
        <w:rPr>
          <w:rStyle w:val="VerbatimChar"/>
        </w:rPr>
        <w:t xml:space="preserve">AH0</w:t>
      </w:r>
      <w:r>
        <w:t xml:space="preserve"> </w:t>
      </w:r>
      <w:r>
        <w:t xml:space="preserve">in the CMU Pronouncing</w:t>
      </w:r>
      <w:r>
        <w:t xml:space="preserve"> </w:t>
      </w:r>
      <w:r>
        <w:t xml:space="preserve">Dictionary), as such a measure. The measure has two attractive</w:t>
      </w:r>
      <w:r>
        <w:t xml:space="preserve"> </w:t>
      </w:r>
      <w:r>
        <w:t xml:space="preserve">properties: it depends only on a phonemic dictionary lookup (no</w:t>
      </w:r>
      <w:r>
        <w:t xml:space="preserve"> </w:t>
      </w:r>
      <w:r>
        <w:t xml:space="preserve">sentence boundary detection required), and it is grounded in a</w:t>
      </w:r>
      <w:r>
        <w:t xml:space="preserve"> </w:t>
      </w:r>
      <w:r>
        <w:t xml:space="preserve">well-studied phonological process (English vowel reduction) rather</w:t>
      </w:r>
      <w:r>
        <w:t xml:space="preserve"> </w:t>
      </w:r>
      <w:r>
        <w:t xml:space="preserve">than orthographic surface statistics.</w:t>
      </w:r>
    </w:p>
    <w:p>
      <w:pPr>
        <w:pStyle w:val="BodyText"/>
      </w:pPr>
      <w:r>
        <w:t xml:space="preserve">This paper reports a four-corpus pre-registered confirmatory test of</w:t>
      </w:r>
      <w:r>
        <w:t xml:space="preserve"> </w:t>
      </w:r>
      <w:r>
        <w:t xml:space="preserve">the claim that schwa density is competitive with Flesch–Kincaid grade</w:t>
      </w:r>
      <w:r>
        <w:t xml:space="preserve"> </w:t>
      </w:r>
      <w:r>
        <w:t xml:space="preserve">level as a single-feature register classifier. The pre-registration</w:t>
      </w:r>
      <w:r>
        <w:t xml:space="preserve"> </w:t>
      </w:r>
      <w:r>
        <w:t xml:space="preserve">was locked before any confirmatory data look. We honour those locked</w:t>
      </w:r>
      <w:r>
        <w:t xml:space="preserve"> </w:t>
      </w:r>
      <w:r>
        <w:t xml:space="preserve">tests in the results section and use the writeup to position the</w:t>
      </w:r>
      <w:r>
        <w:t xml:space="preserve"> </w:t>
      </w:r>
      <w:r>
        <w:t xml:space="preserve">finding within its actual scope: schwa is most useful for within-prose</w:t>
      </w:r>
      <w:r>
        <w:t xml:space="preserve"> </w:t>
      </w:r>
      <w:r>
        <w:t xml:space="preserve">stylistic discrimination and degrades to a syllables-per-word proxy</w:t>
      </w:r>
      <w:r>
        <w:t xml:space="preserve"> </w:t>
      </w:r>
      <w:r>
        <w:t xml:space="preserve">when register variation is driven by cross-modality contrasts.</w:t>
      </w:r>
    </w:p>
    <w:bookmarkEnd w:id="20"/>
    <w:bookmarkStart w:id="29" w:name="method"/>
    <w:p>
      <w:pPr>
        <w:pStyle w:val="Heading1"/>
      </w:pPr>
      <w:r>
        <w:t xml:space="preserve">Method</w:t>
      </w:r>
    </w:p>
    <w:bookmarkStart w:id="22" w:name="schwa-density-operationalisation"/>
    <w:p>
      <w:pPr>
        <w:pStyle w:val="Heading2"/>
      </w:pPr>
      <w:r>
        <w:t xml:space="preserve">Schwa density operationalisation</w:t>
      </w:r>
    </w:p>
    <w:p>
      <w:pPr>
        <w:pStyle w:val="FirstParagraph"/>
      </w:pPr>
      <w:r>
        <w:t xml:space="preserve">For each text, we compute the phoneme sequence by mapping each</w:t>
      </w:r>
      <w:r>
        <w:t xml:space="preserve"> </w:t>
      </w:r>
      <w:r>
        <w:t xml:space="preserve">alphabetic word to its first CMUdict pronunciation</w:t>
      </w:r>
      <w:r>
        <w:t xml:space="preserve"> </w:t>
      </w:r>
      <w:r>
        <w:t xml:space="preserve">(CMU, 1998).</w:t>
      </w:r>
      <w:r>
        <w:rPr>
          <w:rStyle w:val="FootnoteReference"/>
        </w:rPr>
        <w:footnoteReference w:id="21"/>
      </w:r>
      <w:r>
        <w:t xml:space="preserve"> </w:t>
      </w:r>
      <w:r>
        <w:t xml:space="preserve">We extract the vowel phones,</w:t>
      </w:r>
      <w:r>
        <w:t xml:space="preserve"> </w:t>
      </w:r>
      <w:r>
        <w:t xml:space="preserve">identifying each by base (one of the 14 ARPAbet vowels) and primary</w:t>
      </w:r>
      <w:r>
        <w:t xml:space="preserve"> </w:t>
      </w:r>
      <w:r>
        <w:t xml:space="preserve">stress digit. The primary measure (</w:t>
      </w:r>
      <m:oMath>
        <m:sSub>
          <m:e>
            <m:r>
              <m:rPr>
                <m:nor/>
                <m:sty m:val="p"/>
              </m:rPr>
              <m:t>schwa</m:t>
            </m:r>
          </m:e>
          <m:sub>
            <m:r>
              <m:rPr>
                <m:nor/>
                <m:sty m:val="p"/>
              </m:rPr>
              <m:t>v1</m:t>
            </m:r>
          </m:sub>
        </m:sSub>
      </m:oMath>
      <w:r>
        <w:t xml:space="preserve">) is the</w:t>
      </w:r>
      <w:r>
        <w:t xml:space="preserve"> </w:t>
      </w:r>
      <w:r>
        <w:t xml:space="preserve">proportion of vowel phones equal to</w:t>
      </w:r>
      <w:r>
        <w:t xml:space="preserve"> </w:t>
      </w:r>
      <w:r>
        <w:rPr>
          <w:rStyle w:val="VerbatimChar"/>
        </w:rPr>
        <w:t xml:space="preserve">AH0</w:t>
      </w:r>
      <w:r>
        <w:t xml:space="preserve">. Three sensitivity</w:t>
      </w:r>
      <w:r>
        <w:t xml:space="preserve"> </w:t>
      </w:r>
      <w:r>
        <w:t xml:space="preserve">variants are computed and reported but not selectable post hoc:</w:t>
      </w:r>
      <w:r>
        <w:t xml:space="preserve"> </w:t>
      </w:r>
      <m:oMath>
        <m:r>
          <m:rPr>
            <m:nor/>
            <m:sty m:val="p"/>
          </m:rPr>
          <m:t>v2</m:t>
        </m:r>
        <m:r>
          <m:rPr>
            <m:sty m:val="p"/>
          </m:rPr>
          <m:t>=</m:t>
        </m:r>
      </m:oMath>
      <w:r>
        <w:t xml:space="preserve"> </w:t>
      </w:r>
      <w:r>
        <w:t xml:space="preserve">(</w:t>
      </w:r>
      <w:r>
        <w:rPr>
          <w:rStyle w:val="VerbatimChar"/>
        </w:rPr>
        <w:t xml:space="preserve">AH0</w:t>
      </w:r>
      <w:r>
        <w:t xml:space="preserve">+</w:t>
      </w:r>
      <w:r>
        <w:rPr>
          <w:rStyle w:val="VerbatimChar"/>
        </w:rPr>
        <w:t xml:space="preserve">IH0</w:t>
      </w:r>
      <w:r>
        <w:t xml:space="preserve">)/total,</w:t>
      </w:r>
      <w:r>
        <w:t xml:space="preserve"> </w:t>
      </w:r>
      <m:oMath>
        <m:r>
          <m:rPr>
            <m:nor/>
            <m:sty m:val="p"/>
          </m:rPr>
          <m:t>v3</m:t>
        </m:r>
        <m:r>
          <m:rPr>
            <m:sty m:val="p"/>
          </m:rPr>
          <m:t>=</m:t>
        </m:r>
      </m:oMath>
      <w:r>
        <w:t xml:space="preserve"> </w:t>
      </w:r>
      <w:r>
        <w:t xml:space="preserve">all unstressed vowels (any stress digit 0)/total,</w:t>
      </w:r>
      <w:r>
        <w:t xml:space="preserve"> </w:t>
      </w:r>
      <m:oMath>
        <m:r>
          <m:rPr>
            <m:nor/>
            <m:sty m:val="p"/>
          </m:rPr>
          <m:t>v4</m:t>
        </m:r>
        <m:r>
          <m:rPr>
            <m:sty m:val="p"/>
          </m:rPr>
          <m:t>=</m:t>
        </m:r>
      </m:oMath>
      <w:r>
        <w:t xml:space="preserve"> </w:t>
      </w:r>
      <w:r>
        <w:t xml:space="preserve">any stress level</w:t>
      </w:r>
      <w:r>
        <w:t xml:space="preserve"> </w:t>
      </w:r>
      <w:r>
        <w:rPr>
          <w:rStyle w:val="VerbatimChar"/>
        </w:rPr>
        <w:t xml:space="preserve">AH</w:t>
      </w:r>
      <w:r>
        <w:t xml:space="preserve">/total.</w:t>
      </w:r>
    </w:p>
    <w:bookmarkEnd w:id="22"/>
    <w:bookmarkStart w:id="23" w:name="comparison-features"/>
    <w:p>
      <w:pPr>
        <w:pStyle w:val="Heading2"/>
      </w:pPr>
      <w:r>
        <w:t xml:space="preserve">Comparison features</w:t>
      </w:r>
    </w:p>
    <w:p>
      <w:pPr>
        <w:pStyle w:val="FirstParagraph"/>
      </w:pPr>
      <w:r>
        <w:t xml:space="preserve">For each text we additionally compute mean syllables per word (CMUdict</w:t>
      </w:r>
      <w:r>
        <w:t xml:space="preserve"> </w:t>
      </w:r>
      <w:r>
        <w:t xml:space="preserve">syllable counts with a heuristic fallback for OOV words), mean word</w:t>
      </w:r>
      <w:r>
        <w:t xml:space="preserve"> </w:t>
      </w:r>
      <w:r>
        <w:t xml:space="preserve">length in characters, mean sentence length in words, type–token</w:t>
      </w:r>
      <w:r>
        <w:t xml:space="preserve"> </w:t>
      </w:r>
      <w:r>
        <w:t xml:space="preserve">ratio, Latinate-ending ratio (count of words ending in any of</w:t>
      </w:r>
      <w:r>
        <w:t xml:space="preserve"> </w:t>
      </w:r>
      <w:r>
        <w:rPr>
          <w:i/>
          <w:iCs/>
        </w:rPr>
        <w:t xml:space="preserve">tion, ity, ance, ence, ous, ment, ive, al, ary, ory, ism,</w:t>
      </w:r>
      <w:r>
        <w:rPr>
          <w:i/>
          <w:iCs/>
        </w:rPr>
        <w:t xml:space="preserve"> </w:t>
      </w:r>
      <w:r>
        <w:rPr>
          <w:i/>
          <w:iCs/>
        </w:rPr>
        <w:t xml:space="preserve">ist</w:t>
      </w:r>
      <w:r>
        <w:t xml:space="preserve">, divided by word count), conditional vowel transition entropy</w:t>
      </w:r>
      <w:r>
        <w:t xml:space="preserve"> </w:t>
      </w:r>
      <m:oMath>
        <m:r>
          <m:t>H</m:t>
        </m:r>
        <m:d>
          <m:dPr>
            <m:begChr m:val="("/>
            <m:endChr m:val=")"/>
            <m:sepChr m:val=""/>
            <m:grow/>
          </m:dPr>
          <m:e>
            <m:sSub>
              <m:e>
                <m:r>
                  <m:t>V</m:t>
                </m:r>
              </m:e>
              <m:sub>
                <m:r>
                  <m:t>n</m:t>
                </m:r>
              </m:sub>
            </m:sSub>
            <m:r>
              <m:rPr>
                <m:sty m:val="p"/>
              </m:rPr>
              <m:t>∣</m:t>
            </m:r>
            <m:sSub>
              <m:e>
                <m:r>
                  <m:t>V</m:t>
                </m:r>
              </m:e>
              <m:sub>
                <m:r>
                  <m:t>n</m:t>
                </m:r>
                <m:r>
                  <m:rPr>
                    <m:sty m:val="p"/>
                  </m:rPr>
                  <m:t>−</m:t>
                </m:r>
                <m:r>
                  <m:t>1</m:t>
                </m:r>
              </m:sub>
            </m:sSub>
          </m:e>
        </m:d>
      </m:oMath>
      <w:r>
        <w:t xml:space="preserve">, marginal vowel entropy</w:t>
      </w:r>
      <w:r>
        <w:t xml:space="preserve"> </w:t>
      </w:r>
      <m:oMath>
        <m:r>
          <m:t>H</m:t>
        </m:r>
        <m:d>
          <m:dPr>
            <m:begChr m:val="("/>
            <m:endChr m:val=")"/>
            <m:sepChr m:val=""/>
            <m:grow/>
          </m:dPr>
          <m:e>
            <m:r>
              <m:t>V</m:t>
            </m:r>
          </m:e>
        </m:d>
      </m:oMath>
      <w:r>
        <w:t xml:space="preserve">, and</w:t>
      </w:r>
      <w:r>
        <w:t xml:space="preserve"> </w:t>
      </w:r>
      <w:r>
        <w:t xml:space="preserve">Flesch–Kincaid grade level</w:t>
      </w:r>
      <w:r>
        <w:t xml:space="preserve"> </w:t>
      </w:r>
      <m:oMath>
        <m:r>
          <m:rPr>
            <m:nor/>
            <m:sty m:val="p"/>
          </m:rPr>
          <m:t>FK</m:t>
        </m:r>
        <m:r>
          <m:rPr>
            <m:sty m:val="p"/>
          </m:rPr>
          <m:t>=</m:t>
        </m:r>
        <m:r>
          <m:t>0.39</m:t>
        </m:r>
        <m:r>
          <m:t> </m:t>
        </m:r>
        <m:bar>
          <m:barPr>
            <m:pos m:val="top"/>
          </m:barPr>
          <m:e>
            <m:sSub>
              <m:e>
                <m:r>
                  <m:rPr>
                    <m:sty m:val="p"/>
                  </m:rPr>
                  <m:t>ℓ</m:t>
                </m:r>
              </m:e>
              <m:sub>
                <m:r>
                  <m:t>s</m:t>
                </m:r>
              </m:sub>
            </m:sSub>
          </m:e>
        </m:bar>
        <m:r>
          <m:rPr>
            <m:sty m:val="p"/>
          </m:rPr>
          <m:t>+</m:t>
        </m:r>
        <m:r>
          <m:t>11.8</m:t>
        </m:r>
        <m:r>
          <m:t> </m:t>
        </m:r>
        <m:bar>
          <m:barPr>
            <m:pos m:val="top"/>
          </m:barPr>
          <m:e>
            <m:sSub>
              <m:e>
                <m:r>
                  <m:rPr>
                    <m:sty m:val="p"/>
                  </m:rPr>
                  <m:t>ℓ</m:t>
                </m:r>
              </m:e>
              <m:sub>
                <m:r>
                  <m:t>w</m:t>
                </m:r>
              </m:sub>
            </m:sSub>
          </m:e>
        </m:bar>
        <m:r>
          <m:rPr>
            <m:sty m:val="p"/>
          </m:rPr>
          <m:t>−</m:t>
        </m:r>
        <m:r>
          <m:t>15.59</m:t>
        </m:r>
      </m:oMath>
      <w:r>
        <w:t xml:space="preserve">,</w:t>
      </w:r>
      <w:r>
        <w:t xml:space="preserve"> </w:t>
      </w:r>
      <w:r>
        <w:t xml:space="preserve">where</w:t>
      </w:r>
      <w:r>
        <w:t xml:space="preserve"> </w:t>
      </w:r>
      <m:oMath>
        <m:bar>
          <m:barPr>
            <m:pos m:val="top"/>
          </m:barPr>
          <m:e>
            <m:sSub>
              <m:e>
                <m:r>
                  <m:rPr>
                    <m:sty m:val="p"/>
                  </m:rPr>
                  <m:t>ℓ</m:t>
                </m:r>
              </m:e>
              <m:sub>
                <m:r>
                  <m:t>s</m:t>
                </m:r>
              </m:sub>
            </m:sSub>
          </m:e>
        </m:bar>
      </m:oMath>
      <w:r>
        <w:t xml:space="preserve"> </w:t>
      </w:r>
      <w:r>
        <w:t xml:space="preserve">is mean sentence length in words and</w:t>
      </w:r>
      <w:r>
        <w:t xml:space="preserve"> </w:t>
      </w:r>
      <m:oMath>
        <m:bar>
          <m:barPr>
            <m:pos m:val="top"/>
          </m:barPr>
          <m:e>
            <m:sSub>
              <m:e>
                <m:r>
                  <m:rPr>
                    <m:sty m:val="p"/>
                  </m:rPr>
                  <m:t>ℓ</m:t>
                </m:r>
              </m:e>
              <m:sub>
                <m:r>
                  <m:t>w</m:t>
                </m:r>
              </m:sub>
            </m:sSub>
          </m:e>
        </m:bar>
      </m:oMath>
      <w:r>
        <w:t xml:space="preserve"> </w:t>
      </w:r>
      <w:r>
        <w:t xml:space="preserve">is mean syllables per word.</w:t>
      </w:r>
    </w:p>
    <w:bookmarkEnd w:id="23"/>
    <w:bookmarkStart w:id="24" w:name="corpora"/>
    <w:p>
      <w:pPr>
        <w:pStyle w:val="Heading2"/>
      </w:pPr>
      <w:r>
        <w:t xml:space="preserve">Corpora</w:t>
      </w:r>
    </w:p>
    <w:p>
      <w:pPr>
        <w:pStyle w:val="FirstParagraph"/>
      </w:pPr>
      <w:r>
        <w:t xml:space="preserve">We test on four corpora spanning four sourcing conventions:</w:t>
      </w:r>
    </w:p>
    <w:p>
      <w:pPr>
        <w:pStyle w:val="BodyText"/>
      </w:pPr>
      <w:r>
        <w:rPr>
          <w:b/>
          <w:bCs/>
        </w:rPr>
        <w:t xml:space="preserve">Brown corpus</w:t>
      </w:r>
      <w:r>
        <w:t xml:space="preserve"> </w:t>
      </w:r>
      <w:r>
        <w:t xml:space="preserve">(</w:t>
      </w:r>
      <m:oMath>
        <m:r>
          <m:t>N</m:t>
        </m:r>
        <m:r>
          <m:rPr>
            <m:sty m:val="p"/>
          </m:rPr>
          <m:t>=</m:t>
        </m:r>
        <m:r>
          <m:t>500</m:t>
        </m:r>
      </m:oMath>
      <w:r>
        <w:t xml:space="preserve">; 313 qualifying after the</w:t>
      </w:r>
      <w:r>
        <w:t xml:space="preserve"> </w:t>
      </w:r>
      <w:r>
        <w:t xml:space="preserve">pre-registered</w:t>
      </w:r>
      <w:r>
        <w:t xml:space="preserve"> </w:t>
      </w:r>
      <m:oMath>
        <m:r>
          <m:t>N</m:t>
        </m:r>
        <m:r>
          <m:rPr>
            <m:sty m:val="p"/>
          </m:rPr>
          <m:t>≥</m:t>
        </m:r>
        <m:r>
          <m:t>30</m:t>
        </m:r>
      </m:oMath>
      <w:r>
        <w:t xml:space="preserve"> </w:t>
      </w:r>
      <w:r>
        <w:t xml:space="preserve">bucket-exclusion rule). Used as exploratory</w:t>
      </w:r>
      <w:r>
        <w:t xml:space="preserve"> </w:t>
      </w:r>
      <w:r>
        <w:t xml:space="preserve">reference. Bundled with NLTK (Bird et al., 2009). We report results on both</w:t>
      </w:r>
      <w:r>
        <w:t xml:space="preserve"> </w:t>
      </w:r>
      <w:r>
        <w:t xml:space="preserve">the locked 6-bucket grouping (the categories that meet</w:t>
      </w:r>
      <w:r>
        <w:t xml:space="preserve"> </w:t>
      </w:r>
      <m:oMath>
        <m:r>
          <m:t>N</m:t>
        </m:r>
        <m:r>
          <m:rPr>
            <m:sty m:val="p"/>
          </m:rPr>
          <m:t>≥</m:t>
        </m:r>
        <m:r>
          <m:t>30</m:t>
        </m:r>
      </m:oMath>
      <w:r>
        <w:t xml:space="preserve"> </w:t>
      </w:r>
      <w:r>
        <w:t xml:space="preserve">on</w:t>
      </w:r>
      <w:r>
        <w:t xml:space="preserve"> </w:t>
      </w:r>
      <w:r>
        <w:t xml:space="preserve">this collection) and on a standard 5-bucket grouping (press, general,</w:t>
      </w:r>
      <w:r>
        <w:t xml:space="preserve"> </w:t>
      </w:r>
      <w:r>
        <w:t xml:space="preserve">learned, fiction, religion) for comparison with prior reported numbers.</w:t>
      </w:r>
    </w:p>
    <w:p>
      <w:pPr>
        <w:pStyle w:val="BodyText"/>
      </w:pPr>
      <w:r>
        <w:rPr>
          <w:b/>
          <w:bCs/>
        </w:rPr>
        <w:t xml:space="preserve">NLTK multi-source</w:t>
      </w:r>
      <w:r>
        <w:t xml:space="preserve"> </w:t>
      </w:r>
      <w:r>
        <w:t xml:space="preserve">(</w:t>
      </w:r>
      <m:oMath>
        <m:r>
          <m:t>N</m:t>
        </m:r>
        <m:r>
          <m:rPr>
            <m:sty m:val="p"/>
          </m:rPr>
          <m:t>=</m:t>
        </m:r>
        <m:r>
          <m:t>164</m:t>
        </m:r>
      </m:oMath>
      <w:r>
        <w:t xml:space="preserve">; 135 qualifying). Pre-registered</w:t>
      </w:r>
      <w:r>
        <w:t xml:space="preserve"> </w:t>
      </w:r>
      <w:r>
        <w:t xml:space="preserve">confirmatory corpus, assembled per the locked stratification:</w:t>
      </w:r>
      <w:r>
        <w:t xml:space="preserve"> </w:t>
      </w:r>
      <w:r>
        <w:t xml:space="preserve">literary fiction (Gutenberg), drama (Shakespeare), oratorical</w:t>
      </w:r>
      <w:r>
        <w:t xml:space="preserve"> </w:t>
      </w:r>
      <w:r>
        <w:t xml:space="preserve">(inaugural and state-of-the-union addresses), news (Reuters and ABC),</w:t>
      </w:r>
      <w:r>
        <w:t xml:space="preserve"> </w:t>
      </w:r>
      <w:r>
        <w:t xml:space="preserve">reviews (movie reviews), and web-informal (web text and chat). Texts</w:t>
      </w:r>
      <w:r>
        <w:t xml:space="preserve"> </w:t>
      </w:r>
      <w:r>
        <w:t xml:space="preserve">shorter than 1</w:t>
      </w:r>
      <w:r>
        <w:t xml:space="preserve">,</w:t>
      </w:r>
      <w:r>
        <w:t xml:space="preserve">000 alphabetic tokens were either rejected or batched</w:t>
      </w:r>
      <w:r>
        <w:t xml:space="preserve"> </w:t>
      </w:r>
      <w:r>
        <w:t xml:space="preserve">to clear the floor.</w:t>
      </w:r>
    </w:p>
    <w:p>
      <w:pPr>
        <w:pStyle w:val="BodyText"/>
      </w:pPr>
      <w:r>
        <w:rPr>
          <w:b/>
          <w:bCs/>
        </w:rPr>
        <w:t xml:space="preserve">Standardized Project Gutenberg Corpus (SPGC)</w:t>
      </w:r>
      <w:r>
        <w:t xml:space="preserve"> </w:t>
      </w:r>
      <w:r>
        <w:t xml:space="preserve">(Gerlach &amp; Font-Clos, 2020) (</w:t>
      </w:r>
      <m:oMath>
        <m:r>
          <m:t>N</m:t>
        </m:r>
        <m:r>
          <m:rPr>
            <m:sty m:val="p"/>
          </m:rPr>
          <m:t>=</m:t>
        </m:r>
        <m:r>
          <m:t>2</m:t>
        </m:r>
        <m:r>
          <m:rPr>
            <m:sty m:val="p"/>
          </m:rPr>
          <m:t>,</m:t>
        </m:r>
        <m:r>
          <m:t>767</m:t>
        </m:r>
      </m:oMath>
      <w:r>
        <w:t xml:space="preserve">; all 12 buckets qualify). The</w:t>
      </w:r>
      <w:r>
        <w:t xml:space="preserve"> </w:t>
      </w:r>
      <w:r>
        <w:t xml:space="preserve">largest pre-registered confirmatory corpus. SPGC ships pre-tokenised</w:t>
      </w:r>
      <w:r>
        <w:t xml:space="preserve"> </w:t>
      </w:r>
      <w:r>
        <w:t xml:space="preserve">as one word per line with punctuation and numbers stripped. We patched</w:t>
      </w:r>
      <w:r>
        <w:t xml:space="preserve"> </w:t>
      </w:r>
      <w:r>
        <w:t xml:space="preserve">the analyser to bypass NLTK tokenisation in this case, with the</w:t>
      </w:r>
      <w:r>
        <w:t xml:space="preserve"> </w:t>
      </w:r>
      <w:r>
        <w:t xml:space="preserve">constant</w:t>
      </w:r>
      <w:r>
        <w:t xml:space="preserve"> </w:t>
      </w:r>
      <m:oMath>
        <m:bar>
          <m:barPr>
            <m:pos m:val="top"/>
          </m:barPr>
          <m:e>
            <m:sSub>
              <m:e>
                <m:r>
                  <m:rPr>
                    <m:sty m:val="p"/>
                  </m:rPr>
                  <m:t>ℓ</m:t>
                </m:r>
              </m:e>
              <m:sub>
                <m:r>
                  <m:t>s</m:t>
                </m:r>
              </m:sub>
            </m:sSub>
          </m:e>
        </m:bar>
        <m:r>
          <m:rPr>
            <m:sty m:val="p"/>
          </m:rPr>
          <m:t>=</m:t>
        </m:r>
        <m:r>
          <m:t>20</m:t>
        </m:r>
      </m:oMath>
      <w:r>
        <w:t xml:space="preserve"> </w:t>
      </w:r>
      <w:r>
        <w:t xml:space="preserve">heuristic for FK (sentence boundaries</w:t>
      </w:r>
      <w:r>
        <w:t xml:space="preserve"> </w:t>
      </w:r>
      <w:r>
        <w:t xml:space="preserve">are unrecoverable from the token stream). Subjects in the SPGC</w:t>
      </w:r>
      <w:r>
        <w:t xml:space="preserve"> </w:t>
      </w:r>
      <w:r>
        <w:t xml:space="preserve">metadata file are LCSH headings rather than LCC classification codes</w:t>
      </w:r>
      <w:r>
        <w:t xml:space="preserve"> </w:t>
      </w:r>
      <w:r>
        <w:t xml:space="preserve">(Library of Congress(n.d.)); we constructed register buckets by regex on LCSH</w:t>
      </w:r>
      <w:r>
        <w:t xml:space="preserve"> </w:t>
      </w:r>
      <w:r>
        <w:t xml:space="preserve">first-segments (priority: children, drama, poetry, religion,</w:t>
      </w:r>
      <w:r>
        <w:t xml:space="preserve"> </w:t>
      </w:r>
      <w:r>
        <w:t xml:space="preserve">philosophy, science, history, biography, travel, essays, letters,</w:t>
      </w:r>
      <w:r>
        <w:t xml:space="preserve"> </w:t>
      </w:r>
      <w:r>
        <w:t xml:space="preserve">fiction; multi-match resolved by priority with</w:t>
      </w:r>
      <w:r>
        <w:t xml:space="preserve"> </w:t>
      </w:r>
      <w:r>
        <w:rPr>
          <w:rStyle w:val="VerbatimChar"/>
        </w:rPr>
        <w:t xml:space="preserve">fiction</w:t>
      </w:r>
      <w:r>
        <w:t xml:space="preserve"> </w:t>
      </w:r>
      <w:r>
        <w:t xml:space="preserve">as</w:t>
      </w:r>
      <w:r>
        <w:t xml:space="preserve"> </w:t>
      </w:r>
      <w:r>
        <w:t xml:space="preserve">catch-all). This is documented as a deviation from the original handoff.</w:t>
      </w:r>
    </w:p>
    <w:p>
      <w:pPr>
        <w:pStyle w:val="BodyText"/>
      </w:pPr>
      <w:r>
        <w:rPr>
          <w:b/>
          <w:bCs/>
        </w:rPr>
        <w:t xml:space="preserve">Open American National Corpus (OANC-GrAF)</w:t>
      </w:r>
      <w:r>
        <w:t xml:space="preserve"> </w:t>
      </w:r>
      <w:r>
        <w:t xml:space="preserve">(Ide &amp; Suderman, 2007) (</w:t>
      </w:r>
      <m:oMath>
        <m:r>
          <m:t>N</m:t>
        </m:r>
        <m:r>
          <m:rPr>
            <m:sty m:val="p"/>
          </m:rPr>
          <m:t>=</m:t>
        </m:r>
        <m:r>
          <m:t>4</m:t>
        </m:r>
        <m:r>
          <m:rPr>
            <m:sty m:val="p"/>
          </m:rPr>
          <m:t>,</m:t>
        </m:r>
        <m:r>
          <m:t>375</m:t>
        </m:r>
      </m:oMath>
      <w:r>
        <w:t xml:space="preserve">; 6 qualifying buckets). Added as</w:t>
      </w:r>
      <w:r>
        <w:t xml:space="preserve"> </w:t>
      </w:r>
      <w:r>
        <w:t xml:space="preserve">non-pre-registered sensitivity corpus. Register taxonomy taken from</w:t>
      </w:r>
      <w:r>
        <w:t xml:space="preserve"> </w:t>
      </w:r>
      <w:r>
        <w:t xml:space="preserve">OANC’s directory hierarchy: face-to-face conversation, telephone</w:t>
      </w:r>
      <w:r>
        <w:t xml:space="preserve"> </w:t>
      </w:r>
      <w:r>
        <w:t xml:space="preserve">conversation, journal (Slate magazine + Verbatim), letters,</w:t>
      </w:r>
      <w:r>
        <w:t xml:space="preserve"> </w:t>
      </w:r>
      <w:r>
        <w:t xml:space="preserve">non-fiction, technical (911 report, biomed, government documents,</w:t>
      </w:r>
      <w:r>
        <w:t xml:space="preserve"> </w:t>
      </w:r>
      <w:r>
        <w:t xml:space="preserve">PLOS), and travel guides.</w:t>
      </w:r>
    </w:p>
    <w:bookmarkEnd w:id="24"/>
    <w:bookmarkStart w:id="28" w:name="pre-registered-tests"/>
    <w:p>
      <w:pPr>
        <w:pStyle w:val="Heading2"/>
      </w:pPr>
      <w:r>
        <w:t xml:space="preserve">Pre-registered tests</w:t>
      </w:r>
    </w:p>
    <w:p>
      <w:pPr>
        <w:pStyle w:val="FirstParagraph"/>
      </w:pPr>
      <w:r>
        <w:t xml:space="preserve">Three tests were locked before any data look on the confirmatory</w:t>
      </w:r>
      <w:r>
        <w:t xml:space="preserve"> </w:t>
      </w:r>
      <w:r>
        <w:t xml:space="preserve">corpora. Bootstrap CIs use 1</w:t>
      </w:r>
      <w:r>
        <w:t xml:space="preserve">,</w:t>
      </w:r>
      <w:r>
        <w:t xml:space="preserve">000 within-group resamples with</w:t>
      </w:r>
      <w:r>
        <w:t xml:space="preserve"> </w:t>
      </w:r>
      <w:r>
        <w:rPr>
          <w:rStyle w:val="VerbatimChar"/>
        </w:rPr>
        <w:t xml:space="preserve">random_state=42</w:t>
      </w:r>
      <w:r>
        <w:t xml:space="preserve">.</w:t>
      </w:r>
    </w:p>
    <w:bookmarkStart w:id="25" w:name="t1-minimum-effect."/>
    <w:p>
      <w:pPr>
        <w:pStyle w:val="Heading4"/>
      </w:pPr>
      <w:r>
        <w:t xml:space="preserve">T1 (minimum effect).</w:t>
      </w:r>
    </w:p>
    <w:p>
      <w:pPr>
        <w:pStyle w:val="FirstParagraph"/>
      </w:pPr>
      <m:oMath>
        <m:sSub>
          <m:e>
            <m:r>
              <m:t>H</m:t>
            </m:r>
          </m:e>
          <m:sub>
            <m:r>
              <m:t>0</m:t>
            </m:r>
          </m:sub>
        </m:sSub>
        <m:r>
          <m:rPr>
            <m:sty m:val="p"/>
          </m:rPr>
          <m:t>:</m:t>
        </m:r>
        <m:sSup>
          <m:e>
            <m:r>
              <m:t>η</m:t>
            </m:r>
          </m:e>
          <m:sup>
            <m:r>
              <m:t>2</m:t>
            </m:r>
          </m:sup>
        </m:sSup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schwa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register</m:t>
            </m:r>
          </m:e>
        </m:d>
        <m:r>
          <m:rPr>
            <m:sty m:val="p"/>
          </m:rPr>
          <m:t>≤</m:t>
        </m:r>
        <m:r>
          <m:t>0.04</m:t>
        </m:r>
      </m:oMath>
      <w:r>
        <w:t xml:space="preserve">. Reject if the lower bound of the 95%</w:t>
      </w:r>
      <w:r>
        <w:t xml:space="preserve"> </w:t>
      </w:r>
      <w:r>
        <w:t xml:space="preserve">bootstrap CI for</w:t>
      </w:r>
      <w:r>
        <w:t xml:space="preserve"> </w:t>
      </w:r>
      <m:oMath>
        <m:sSup>
          <m:e>
            <m:r>
              <m:t>η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exceeds 0.04. The 0.04 floor follows</w:t>
      </w:r>
      <w:r>
        <w:t xml:space="preserve"> </w:t>
      </w:r>
      <w:r>
        <w:t xml:space="preserve">Lakens (2022) on minimum-effect-of-interest tests for</w:t>
      </w:r>
      <w:r>
        <w:t xml:space="preserve"> </w:t>
      </w:r>
      <w:r>
        <w:t xml:space="preserve">text-derived measures, which non-trivially correlate at baseline.</w:t>
      </w:r>
    </w:p>
    <w:bookmarkEnd w:id="25"/>
    <w:bookmarkStart w:id="26" w:name="t2-non-inferiority-versus-fk."/>
    <w:p>
      <w:pPr>
        <w:pStyle w:val="Heading4"/>
      </w:pPr>
      <w:r>
        <w:t xml:space="preserve">T2 (non-inferiority versus FK).</w:t>
      </w:r>
    </w:p>
    <w:p>
      <w:pPr>
        <w:pStyle w:val="FirstParagraph"/>
      </w:pPr>
      <m:oMath>
        <m:sSub>
          <m:e>
            <m:r>
              <m:t>H</m:t>
            </m:r>
          </m:e>
          <m:sub>
            <m:r>
              <m:t>0</m:t>
            </m:r>
          </m:sub>
        </m:sSub>
        <m:r>
          <m:rPr>
            <m:sty m:val="p"/>
          </m:rPr>
          <m:t>:</m:t>
        </m:r>
        <m:sSup>
          <m:e>
            <m:r>
              <m:t>η</m:t>
            </m:r>
          </m:e>
          <m:sup>
            <m:r>
              <m:t>2</m:t>
            </m:r>
          </m:sup>
        </m:sSup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schwa</m:t>
            </m:r>
          </m:e>
        </m:d>
        <m:r>
          <m:rPr>
            <m:sty m:val="p"/>
          </m:rPr>
          <m:t>−</m:t>
        </m:r>
        <m:sSup>
          <m:e>
            <m:r>
              <m:t>η</m:t>
            </m:r>
          </m:e>
          <m:sup>
            <m:r>
              <m:t>2</m:t>
            </m:r>
          </m:sup>
        </m:sSup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FK</m:t>
            </m:r>
          </m:e>
        </m:d>
        <m:r>
          <m:rPr>
            <m:sty m:val="p"/>
          </m:rPr>
          <m:t>≤</m:t>
        </m:r>
        <m:r>
          <m:rPr>
            <m:sty m:val="p"/>
          </m:rPr>
          <m:t>−</m:t>
        </m:r>
        <m:r>
          <m:t>0.05</m:t>
        </m:r>
      </m:oMath>
      <w:r>
        <w:t xml:space="preserve">. Reject if the</w:t>
      </w:r>
      <w:r>
        <w:t xml:space="preserve"> </w:t>
      </w:r>
      <w:r>
        <w:t xml:space="preserve">lower bound of the 90% bootstrap CI for the difference exceeds</w:t>
      </w:r>
      <w:r>
        <w:t xml:space="preserve"> </w:t>
      </w:r>
      <m:oMath>
        <m:r>
          <m:rPr>
            <m:sty m:val="p"/>
          </m:rPr>
          <m:t>−</m:t>
        </m:r>
        <m:r>
          <m:t>0.05</m:t>
        </m:r>
      </m:oMath>
      <w:r>
        <w:t xml:space="preserve">. The 0.05 margin is a cost–benefit-style SESOI: at</w:t>
      </w:r>
      <w:r>
        <w:t xml:space="preserve"> </w:t>
      </w:r>
      <m:oMath>
        <m:sSup>
          <m:e>
            <m:r>
              <m:t>η</m:t>
            </m:r>
          </m:e>
          <m:sup>
            <m:r>
              <m:t>2</m:t>
            </m:r>
          </m:sup>
        </m:sSup>
        <m:r>
          <m:rPr>
            <m:sty m:val="p"/>
          </m:rPr>
          <m:t>≈</m:t>
        </m:r>
        <m:r>
          <m:t>0.5</m:t>
        </m:r>
      </m:oMath>
      <w:r>
        <w:t xml:space="preserve"> </w:t>
      </w:r>
      <w:r>
        <w:t xml:space="preserve">it is approximately a 9% relative gap, the</w:t>
      </w:r>
      <w:r>
        <w:t xml:space="preserve"> </w:t>
      </w:r>
      <w:r>
        <w:t xml:space="preserve">smallest gap that would meaningfully recommend FK over schwa given</w:t>
      </w:r>
      <w:r>
        <w:t xml:space="preserve"> </w:t>
      </w:r>
      <w:r>
        <w:t xml:space="preserve">schwa’s conceptual simplicity.</w:t>
      </w:r>
    </w:p>
    <w:bookmarkEnd w:id="26"/>
    <w:bookmarkStart w:id="27" w:name="t3-correlation-replication."/>
    <w:p>
      <w:pPr>
        <w:pStyle w:val="Heading4"/>
      </w:pPr>
      <w:r>
        <w:t xml:space="preserve">T3 (correlation replication).</w:t>
      </w:r>
    </w:p>
    <w:p>
      <w:pPr>
        <w:pStyle w:val="FirstParagraph"/>
      </w:pPr>
      <m:oMath>
        <m:sSub>
          <m:e>
            <m:r>
              <m:t>H</m:t>
            </m:r>
          </m:e>
          <m:sub>
            <m:r>
              <m:t>0</m:t>
            </m:r>
          </m:sub>
        </m:sSub>
        <m:r>
          <m:rPr>
            <m:sty m:val="p"/>
          </m:rPr>
          <m:t>:</m:t>
        </m:r>
        <m:r>
          <m:rPr>
            <m:sty m:val="p"/>
          </m:rPr>
          <m:t>|</m:t>
        </m:r>
        <m:r>
          <m:t>r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schwa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cond</m:t>
            </m:r>
            <m:r>
              <m:t> </m:t>
            </m:r>
            <m:r>
              <m:t>H</m:t>
            </m:r>
          </m:e>
        </m:d>
        <m:r>
          <m:rPr>
            <m:sty m:val="p"/>
          </m:rPr>
          <m:t>|</m:t>
        </m:r>
        <m:r>
          <m:rPr>
            <m:sty m:val="p"/>
          </m:rPr>
          <m:t>≤</m:t>
        </m:r>
        <m:r>
          <m:t>0.36</m:t>
        </m:r>
      </m:oMath>
      <w:r>
        <w:t xml:space="preserve">. Reject if observed</w:t>
      </w:r>
      <w:r>
        <w:t xml:space="preserve"> </w:t>
      </w:r>
      <m:oMath>
        <m:r>
          <m:rPr>
            <m:sty m:val="p"/>
          </m:rPr>
          <m:t>|</m:t>
        </m:r>
        <m:r>
          <m:t>r</m:t>
        </m:r>
        <m:r>
          <m:rPr>
            <m:sty m:val="p"/>
          </m:rPr>
          <m:t>|</m:t>
        </m:r>
        <m:r>
          <m:rPr>
            <m:sty m:val="p"/>
          </m:rPr>
          <m:t>&gt;</m:t>
        </m:r>
        <m:r>
          <m:t>0.36</m:t>
        </m:r>
      </m:oMath>
      <w:r>
        <w:t xml:space="preserve"> </w:t>
      </w:r>
      <w:r>
        <w:t xml:space="preserve">and one-sided</w:t>
      </w:r>
      <w:r>
        <w:t xml:space="preserve"> </w:t>
      </w:r>
      <m:oMath>
        <m:r>
          <m:t>p</m:t>
        </m:r>
        <m:r>
          <m:rPr>
            <m:sty m:val="p"/>
          </m:rPr>
          <m:t>&lt;</m:t>
        </m:r>
        <m:r>
          <m:t>0.05</m:t>
        </m:r>
      </m:oMath>
      <w:r>
        <w:t xml:space="preserve">. The 0.36</w:t>
      </w:r>
      <w:r>
        <w:t xml:space="preserve"> </w:t>
      </w:r>
      <w:r>
        <w:t xml:space="preserve">threshold is the small-telescopes value (Simonsohn, 2015): the</w:t>
      </w:r>
      <w:r>
        <w:t xml:space="preserve"> </w:t>
      </w:r>
      <w:r>
        <w:t xml:space="preserve">smallest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that would have reached significance in the original</w:t>
      </w:r>
      <w:r>
        <w:t xml:space="preserve"> </w:t>
      </w:r>
      <m:oMath>
        <m:r>
          <m:t>N</m:t>
        </m:r>
        <m:r>
          <m:rPr>
            <m:sty m:val="p"/>
          </m:rPr>
          <m:t>=</m:t>
        </m:r>
        <m:r>
          <m:t>30</m:t>
        </m:r>
      </m:oMath>
      <w:r>
        <w:t xml:space="preserve"> </w:t>
      </w:r>
      <w:r>
        <w:t xml:space="preserve">pilot study.</w:t>
      </w:r>
    </w:p>
    <w:p>
      <w:pPr>
        <w:pStyle w:val="BodyText"/>
      </w:pPr>
      <w:r>
        <w:t xml:space="preserve">We frame T3 in the discussion as a pipeline-consistency check rather</w:t>
      </w:r>
      <w:r>
        <w:t xml:space="preserve"> </w:t>
      </w:r>
      <w:r>
        <w:t xml:space="preserve">than substantive evidence about vowel transition structure. Marginal</w:t>
      </w:r>
      <w:r>
        <w:t xml:space="preserve"> </w:t>
      </w:r>
      <w:r>
        <w:t xml:space="preserve">and conditional vowel entropies correlate at</w:t>
      </w:r>
      <w:r>
        <w:t xml:space="preserve"> </w:t>
      </w:r>
      <m:oMath>
        <m:r>
          <m:t>r</m:t>
        </m:r>
        <m:r>
          <m:rPr>
            <m:sty m:val="p"/>
          </m:rPr>
          <m:t>≈</m:t>
        </m:r>
        <m:r>
          <m:t>0.99</m:t>
        </m:r>
      </m:oMath>
      <w:r>
        <w:t xml:space="preserve"> </w:t>
      </w:r>
      <w:r>
        <w:t xml:space="preserve">in</w:t>
      </w:r>
      <w:r>
        <w:t xml:space="preserve"> </w:t>
      </w:r>
      <w:r>
        <w:t xml:space="preserve">prior corpora, and Shannon entropy mechanically drops as one vowel</w:t>
      </w:r>
      <w:r>
        <w:t xml:space="preserve"> </w:t>
      </w:r>
      <w:r>
        <w:t xml:space="preserve">category (schwa) comes to dominate the distribution. The result of</w:t>
      </w:r>
      <w:r>
        <w:t xml:space="preserve"> </w:t>
      </w:r>
      <w:r>
        <w:t xml:space="preserve">T3 confirms that the phonemic pipeline produces the expected</w:t>
      </w:r>
      <w:r>
        <w:t xml:space="preserve"> </w:t>
      </w:r>
      <w:r>
        <w:t xml:space="preserve">mathematical relationship; it does not constitute independent evidence</w:t>
      </w:r>
      <w:r>
        <w:t xml:space="preserve"> </w:t>
      </w:r>
      <w:r>
        <w:t xml:space="preserve">that vowel transition predictability discriminates registers.</w:t>
      </w:r>
    </w:p>
    <w:bookmarkEnd w:id="27"/>
    <w:bookmarkEnd w:id="28"/>
    <w:bookmarkEnd w:id="29"/>
    <w:bookmarkStart w:id="55" w:name="results"/>
    <w:p>
      <w:pPr>
        <w:pStyle w:val="Heading1"/>
      </w:pPr>
      <w:r>
        <w:t xml:space="preserve">Results</w:t>
      </w:r>
    </w:p>
    <w:bookmarkStart w:id="35" w:name="locked-confirmatory-tests"/>
    <w:p>
      <w:pPr>
        <w:pStyle w:val="Heading2"/>
      </w:pPr>
      <w:r>
        <w:t xml:space="preserve">Locked confirmatory tests</w:t>
      </w:r>
    </w:p>
    <w:p>
      <w:pPr>
        <w:pStyle w:val="FirstParagraph"/>
      </w:pPr>
      <w:r>
        <w:t xml:space="preserve">Table </w:t>
      </w:r>
      <w:hyperlink w:anchor="tab:tests">
        <w:r>
          <w:rPr>
            <w:rStyle w:val="Hyperlink"/>
          </w:rPr>
          <w:t xml:space="preserve">1</w:t>
        </w:r>
      </w:hyperlink>
      <w:r>
        <w:t xml:space="preserve"> </w:t>
      </w:r>
      <w:r>
        <w:t xml:space="preserve">reports T1–T3 outcomes on all four corpora.</w:t>
      </w:r>
      <w:r>
        <w:t xml:space="preserve"> </w:t>
      </w:r>
      <w:r>
        <w:t xml:space="preserve">Both pre-registered confirmatory corpora (NLTK multi-source and SPGC)</w:t>
      </w:r>
      <w:r>
        <w:t xml:space="preserve"> </w:t>
      </w:r>
      <w:r>
        <w:t xml:space="preserve">cleared all three locked tests. The exploratory reference (Brown) and</w:t>
      </w:r>
      <w:r>
        <w:t xml:space="preserve"> </w:t>
      </w:r>
      <w:r>
        <w:t xml:space="preserve">the sensitivity corpus (OANC) are reported in the same format for</w:t>
      </w:r>
      <w:r>
        <w:t xml:space="preserve"> </w:t>
      </w:r>
      <w:r>
        <w:t xml:space="preserve">context.</w:t>
      </w:r>
    </w:p>
    <w:bookmarkStart w:id="30" w:name="tab:tests"/>
    <w:p>
      <w:pPr>
        <w:pStyle w:val="TableCaption"/>
      </w:pPr>
      <w:r>
        <w:t xml:space="preserve">Pre-registered tests across four corpora. T1 column reports</w:t>
      </w:r>
      <w:r>
        <w:t xml:space="preserve"> </w:t>
      </w:r>
      <m:oMath>
        <m:sSup>
          <m:e>
            <m:r>
              <m:t>η</m:t>
            </m:r>
          </m:e>
          <m:sup>
            <m:r>
              <m:t>2</m:t>
            </m:r>
          </m:sup>
        </m:sSup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schwa</m:t>
            </m:r>
          </m:e>
        </m:d>
      </m:oMath>
      <w:r>
        <w:t xml:space="preserve"> </w:t>
      </w:r>
      <w:r>
        <w:t xml:space="preserve">with 95% bootstrap CI. T2 column reports</w:t>
      </w:r>
      <w:r>
        <w:t xml:space="preserve"> </w:t>
      </w:r>
      <m:oMath>
        <m:sSup>
          <m:e>
            <m:r>
              <m:t>η</m:t>
            </m:r>
          </m:e>
          <m:sup>
            <m:r>
              <m:t>2</m:t>
            </m:r>
          </m:sup>
        </m:sSup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schwa</m:t>
            </m:r>
          </m:e>
        </m:d>
        <m:r>
          <m:rPr>
            <m:sty m:val="p"/>
          </m:rPr>
          <m:t>−</m:t>
        </m:r>
        <m:sSup>
          <m:e>
            <m:r>
              <m:t>η</m:t>
            </m:r>
          </m:e>
          <m:sup>
            <m:r>
              <m:t>2</m:t>
            </m:r>
          </m:sup>
        </m:sSup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FK</m:t>
            </m:r>
          </m:e>
        </m:d>
      </m:oMath>
      <w:r>
        <w:t xml:space="preserve"> </w:t>
      </w:r>
      <w:r>
        <w:t xml:space="preserve">with 90% CI. T3 column</w:t>
      </w:r>
      <w:r>
        <w:t xml:space="preserve"> </w:t>
      </w:r>
      <w:r>
        <w:t xml:space="preserve">reports</w:t>
      </w:r>
      <w:r>
        <w:t xml:space="preserve"> </w:t>
      </w:r>
      <m:oMath>
        <m:r>
          <m:rPr>
            <m:sty m:val="p"/>
          </m:rPr>
          <m:t>|</m:t>
        </m:r>
        <m:r>
          <m:t>r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schwa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cond</m:t>
            </m:r>
            <m:r>
              <m:t> </m:t>
            </m:r>
            <m:r>
              <m:t>H</m:t>
            </m:r>
          </m:e>
        </m:d>
        <m:r>
          <m:rPr>
            <m:sty m:val="p"/>
          </m:rPr>
          <m:t>|</m:t>
        </m:r>
      </m:oMath>
      <w:r>
        <w:t xml:space="preserve"> </w:t>
      </w:r>
      <w:r>
        <w:t xml:space="preserve">(one-sided</w:t>
      </w:r>
      <w:r>
        <w:t xml:space="preserve"> </w:t>
      </w:r>
      <m:oMath>
        <m:r>
          <m:t>p</m:t>
        </m:r>
        <m:r>
          <m:rPr>
            <m:sty m:val="p"/>
          </m:rPr>
          <m:t>&lt;</m:t>
        </m:r>
        <m:sSup>
          <m:e>
            <m:r>
              <m:t>10</m:t>
            </m:r>
          </m:e>
          <m:sup>
            <m:r>
              <m:rPr>
                <m:sty m:val="p"/>
              </m:rPr>
              <m:t>−</m:t>
            </m:r>
            <m:r>
              <m:t>40</m:t>
            </m:r>
          </m:sup>
        </m:sSup>
      </m:oMath>
      <w:r>
        <w:t xml:space="preserve"> </w:t>
      </w:r>
      <w:r>
        <w:t xml:space="preserve">on all four corpora). Brown is exploratory; NLTK and</w:t>
      </w:r>
      <w:r>
        <w:t xml:space="preserve"> </w:t>
      </w:r>
      <w:r>
        <w:t xml:space="preserve">SPGC are pre-registered confirmatory corpora; OANC is non-pre-registered</w:t>
      </w:r>
      <w:r>
        <w:t xml:space="preserve"> </w:t>
      </w:r>
      <w:r>
        <w:t xml:space="preserve">sensitivity. Brown’s T2 failure on the 6-bucket grouping (locked</w:t>
      </w:r>
      <w:r>
        <w:t xml:space="preserve"> </w:t>
      </w:r>
      <m:oMath>
        <m:r>
          <m:t>N</m:t>
        </m:r>
        <m:r>
          <m:rPr>
            <m:sty m:val="p"/>
          </m:rPr>
          <m:t>≥</m:t>
        </m:r>
        <m:r>
          <m:t>30</m:t>
        </m:r>
      </m:oMath>
      <w:r>
        <w:t xml:space="preserve"> </w:t>
      </w:r>
      <w:r>
        <w:t xml:space="preserve">rule) becomes T2 pass on the 5-bucket Francis–Kučera</w:t>
      </w:r>
      <w:r>
        <w:t xml:space="preserve"> </w:t>
      </w:r>
      <w:r>
        <w:t xml:space="preserve">grouping (</w:t>
      </w:r>
      <m:oMath>
        <m:sSubSup>
          <m:e>
            <m:r>
              <m:t>η</m:t>
            </m:r>
          </m:e>
          <m:sub>
            <m:r>
              <m:rPr>
                <m:nor/>
                <m:sty m:val="p"/>
              </m:rPr>
              <m:t>schwa</m:t>
            </m:r>
          </m:sub>
          <m:sup>
            <m:r>
              <m:t>2</m:t>
            </m:r>
          </m:sup>
        </m:sSubSup>
        <m:r>
          <m:rPr>
            <m:sty m:val="p"/>
          </m:rPr>
          <m:t>=</m:t>
        </m:r>
        <m:r>
          <m:t>0.518</m:t>
        </m:r>
      </m:oMath>
      <w:r>
        <w:t xml:space="preserve">,</w:t>
      </w:r>
      <w:r>
        <w:t xml:space="preserve"> </w:t>
      </w:r>
      <m:oMath>
        <m:sSubSup>
          <m:e>
            <m:r>
              <m:t>η</m:t>
            </m:r>
          </m:e>
          <m:sub>
            <m:r>
              <m:rPr>
                <m:nor/>
                <m:sty m:val="p"/>
              </m:rPr>
              <m:t>FK</m:t>
            </m:r>
          </m:sub>
          <m:sup>
            <m:r>
              <m:t>2</m:t>
            </m:r>
          </m:sup>
        </m:sSubSup>
        <m:r>
          <m:rPr>
            <m:sty m:val="p"/>
          </m:rPr>
          <m:t>=</m:t>
        </m:r>
        <m:r>
          <m:t>0.534</m:t>
        </m:r>
      </m:oMath>
      <w:r>
        <w:t xml:space="preserve">, gap</w:t>
      </w:r>
      <w:r>
        <w:t xml:space="preserve"> </w:t>
      </w:r>
      <m:oMath>
        <m:r>
          <m:rPr>
            <m:sty m:val="p"/>
          </m:rPr>
          <m:t>−</m:t>
        </m:r>
        <m:r>
          <m:t>0.016</m:t>
        </m:r>
      </m:oMath>
      <w:r>
        <w:t xml:space="preserve">).</w:t>
      </w:r>
    </w:p>
    <w:tbl>
      <w:tblPr>
        <w:tblStyle w:val="Table"/>
        <w:tblW w:type="auto" w:w="0"/>
        <w:tblLook w:firstRow="1" w:lastRow="0" w:firstColumn="0" w:lastColumn="0" w:noHBand="0" w:noVBand="0" w:val="0020"/>
        <w:tblCaption w:val="Pre-registered tests across four corpora. T1 column reports \eta^2(\text{schwa}) with 95% bootstrap CI. T2 column reports \eta^2(\text{schwa}) - \eta^2(\text{FK}) with 90% CI. T3 column reports \lvert r(\text{schwa}, \text{cond}\,H) \rvert (one-sided p &lt; 10^{-40} on all four corpora). Brown is exploratory; NLTK and SPGC are pre-registered confirmatory corpora; OANC is non-pre-registered sensitivity. Brown’s T2 failure on the 6-bucket grouping (locked N \ge 30 rule) becomes T2 pass on the 5-bucket Francis–Kučera grouping (\eta^2_{\text{schwa}}=0.518, \eta^2_{\text{FK}}=0.534, gap -0.016).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t xml:space="preserve">Corpus</w:t>
            </w:r>
          </w:p>
        </w:tc>
        <w:tc>
          <w:tcPr/>
          <w:p>
            <w:pPr>
              <w:pStyle w:val="Compact"/>
              <w:jc w:val="right"/>
            </w:pPr>
            <m:oMath>
              <m:r>
                <m:t>N</m:t>
              </m:r>
            </m:oMath>
          </w:p>
        </w:tc>
        <w:tc>
          <w:tcPr/>
          <w:p>
            <w:pPr>
              <w:pStyle w:val="Compact"/>
              <w:jc w:val="right"/>
            </w:pPr>
            <w:r>
              <w:t xml:space="preserve">T1 obs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T2 obs</w:t>
            </w:r>
          </w:p>
        </w:tc>
        <w:tc>
          <w:tcPr/>
          <w:p>
            <w:pPr>
              <w:pStyle w:val="Compact"/>
              <w:jc w:val="right"/>
            </w:pPr>
            <m:oMath>
              <m:r>
                <m:rPr>
                  <m:sty m:val="p"/>
                </m:rPr>
                <m:t>|</m:t>
              </m:r>
              <m:r>
                <m:t>r</m:t>
              </m:r>
              <m:r>
                <m:rPr>
                  <m:sty m:val="p"/>
                </m:rPr>
                <m:t>|</m:t>
              </m:r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Outcome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Brown (6-bucket)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313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0.202 [0.142, 0.293]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+</w:t>
            </w:r>
            <w:r>
              <w:t xml:space="preserve">0.001 [</w:t>
            </w:r>
            <w:r>
              <w:t xml:space="preserve">-</w:t>
            </w:r>
            <w:r>
              <w:t xml:space="preserve">0.065,</w:t>
            </w:r>
            <w:r>
              <w:t xml:space="preserve"> </w:t>
            </w:r>
            <w:r>
              <w:t xml:space="preserve">+</w:t>
            </w:r>
            <w:r>
              <w:t xml:space="preserve">0.068]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0.92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T1 P, T2 F, T3 P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NLTK_multi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135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0.616 [0.531, 0.702]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+</w:t>
            </w:r>
            <w:r>
              <w:t xml:space="preserve">0.430 [</w:t>
            </w:r>
            <w:r>
              <w:t xml:space="preserve">+</w:t>
            </w:r>
            <w:r>
              <w:t xml:space="preserve">0.346,</w:t>
            </w:r>
            <w:r>
              <w:t xml:space="preserve"> </w:t>
            </w:r>
            <w:r>
              <w:t xml:space="preserve">+</w:t>
            </w:r>
            <w:r>
              <w:t xml:space="preserve">0.501]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0.84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All pass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SPGC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</w:t>
            </w:r>
            <w:r>
              <w:t xml:space="preserve">,</w:t>
            </w:r>
            <w:r>
              <w:t xml:space="preserve">767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0.365 [0.339, 0.397]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-</w:t>
            </w:r>
            <w:r>
              <w:t xml:space="preserve">0.005 [</w:t>
            </w:r>
            <w:r>
              <w:t xml:space="preserve">-</w:t>
            </w:r>
            <w:r>
              <w:t xml:space="preserve">0.025,</w:t>
            </w:r>
            <w:r>
              <w:t xml:space="preserve"> </w:t>
            </w:r>
            <w:r>
              <w:t xml:space="preserve">+</w:t>
            </w:r>
            <w:r>
              <w:t xml:space="preserve">0.014]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0.94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All pass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OANC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</w:t>
            </w:r>
            <w:r>
              <w:t xml:space="preserve">,</w:t>
            </w:r>
            <w:r>
              <w:t xml:space="preserve">375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0.847 [0.840, 0.853]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-</w:t>
            </w:r>
            <w:r>
              <w:t xml:space="preserve">0.047 [</w:t>
            </w:r>
            <w:r>
              <w:t xml:space="preserve">-</w:t>
            </w:r>
            <w:r>
              <w:t xml:space="preserve">0.054,</w:t>
            </w:r>
            <w:r>
              <w:t xml:space="preserve"> </w:t>
            </w:r>
            <w:r>
              <w:t xml:space="preserve">-</w:t>
            </w:r>
            <w:r>
              <w:t xml:space="preserve">0.040]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0.90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T1 P, T2 F, T3 P</w:t>
            </w:r>
          </w:p>
        </w:tc>
      </w:tr>
    </w:tbl>
    <w:bookmarkEnd w:id="30"/>
    <w:p>
      <w:pPr>
        <w:pStyle w:val="BodyText"/>
      </w:pPr>
      <w:r>
        <w:t xml:space="preserve">The headline visualisation is Figure </w:t>
      </w:r>
      <w:hyperlink w:anchor="fig:eta">
        <w:r>
          <w:rPr>
            <w:rStyle w:val="Hyperlink"/>
          </w:rPr>
          <w:t xml:space="preserve">1</w:t>
        </w:r>
      </w:hyperlink>
      <w:r>
        <w:t xml:space="preserve">. Schwa density ties</w:t>
      </w:r>
      <w:r>
        <w:t xml:space="preserve"> </w:t>
      </w:r>
      <w:r>
        <w:t xml:space="preserve">or beats FK on every pre-registered corpus, consistent with the</w:t>
      </w:r>
      <w:r>
        <w:t xml:space="preserve"> </w:t>
      </w:r>
      <w:r>
        <w:t xml:space="preserve">prediction that schwa carries phonologically grounded register</w:t>
      </w:r>
      <w:r>
        <w:t xml:space="preserve"> </w:t>
      </w:r>
      <w:r>
        <w:t xml:space="preserve">information without requiring sentence detection.</w:t>
      </w:r>
    </w:p>
    <w:bookmarkStart w:id="34" w:name="fig:eta"/>
    <w:p>
      <w:pPr>
        <w:pStyle w:val="CaptionedFigure"/>
      </w:pPr>
      <w:r>
        <w:drawing>
          <wp:inline>
            <wp:extent cx="4533900" cy="2720339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fig1_eta_comparison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27203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Register discrimination by single feature across four corpora.</w:t>
      </w:r>
      <w:r>
        <w:t xml:space="preserve"> </w:t>
      </w:r>
      <w:r>
        <w:t xml:space="preserve">Schwa density ties or exceeds Flesch–Kincaid on all pre-registered</w:t>
      </w:r>
      <w:r>
        <w:t xml:space="preserve"> </w:t>
      </w:r>
      <w:r>
        <w:t xml:space="preserve">corpora (Brown, NLTK_multi, SPGC). On OANC, where register variation</w:t>
      </w:r>
      <w:r>
        <w:t xml:space="preserve"> </w:t>
      </w:r>
      <w:r>
        <w:t xml:space="preserve">runs along a speech–versus–technical-writing axis that aligns both</w:t>
      </w:r>
      <w:r>
        <w:t xml:space="preserve"> </w:t>
      </w:r>
      <w:r>
        <w:t xml:space="preserve">FK terms (sentence length and syllables per word), FK has a small</w:t>
      </w:r>
      <w:r>
        <w:t xml:space="preserve"> </w:t>
      </w:r>
      <w:r>
        <w:t xml:space="preserve">advantage that schwa cannot match by design.</w:t>
      </w:r>
    </w:p>
    <w:bookmarkEnd w:id="34"/>
    <w:bookmarkEnd w:id="35"/>
    <w:bookmarkStart w:id="40" w:name="per-register-patterns-on-spgc"/>
    <w:p>
      <w:pPr>
        <w:pStyle w:val="Heading2"/>
      </w:pPr>
      <w:r>
        <w:t xml:space="preserve">Per-register patterns on SPGC</w:t>
      </w:r>
    </w:p>
    <w:p>
      <w:pPr>
        <w:pStyle w:val="FirstParagraph"/>
      </w:pPr>
      <w:r>
        <w:t xml:space="preserve">Figure </w:t>
      </w:r>
      <w:hyperlink w:anchor="fig:spgc-boxplots">
        <w:r>
          <w:rPr>
            <w:rStyle w:val="Hyperlink"/>
          </w:rPr>
          <w:t xml:space="preserve">2</w:t>
        </w:r>
      </w:hyperlink>
      <w:r>
        <w:t xml:space="preserve"> </w:t>
      </w:r>
      <w:r>
        <w:t xml:space="preserve">shows schwa density distributions across</w:t>
      </w:r>
      <w:r>
        <w:t xml:space="preserve"> </w:t>
      </w:r>
      <w:r>
        <w:t xml:space="preserve">the 12 LCSH-derived register buckets on SPGC. Drama, children’s</w:t>
      </w:r>
      <w:r>
        <w:t xml:space="preserve"> </w:t>
      </w:r>
      <w:r>
        <w:t xml:space="preserve">literature, poetry, and fiction occupy the low end (high dialogue</w:t>
      </w:r>
      <w:r>
        <w:t xml:space="preserve"> </w:t>
      </w:r>
      <w:r>
        <w:t xml:space="preserve">content, monosyllabic vocabulary, Germanic-leaning lexicon).</w:t>
      </w:r>
      <w:r>
        <w:t xml:space="preserve"> </w:t>
      </w:r>
      <w:r>
        <w:t xml:space="preserve">Philosophy, history, travel, and religion occupy the high end</w:t>
      </w:r>
      <w:r>
        <w:t xml:space="preserve"> </w:t>
      </w:r>
      <w:r>
        <w:t xml:space="preserve">(Latinate vocabulary, formal register, fewer monosyllabic function</w:t>
      </w:r>
      <w:r>
        <w:t xml:space="preserve"> </w:t>
      </w:r>
      <w:r>
        <w:t xml:space="preserve">words). The ordering is interpretable in standard phonological terms</w:t>
      </w:r>
      <w:r>
        <w:t xml:space="preserve"> </w:t>
      </w:r>
      <w:r>
        <w:t xml:space="preserve">without appeal to register theory: registers that favour Latinate</w:t>
      </w:r>
      <w:r>
        <w:t xml:space="preserve"> </w:t>
      </w:r>
      <w:r>
        <w:t xml:space="preserve">polysyllabic vocabulary mechanically produce more unstressed syllables.</w:t>
      </w:r>
    </w:p>
    <w:bookmarkStart w:id="39" w:name="fig:spgc-boxplots"/>
    <w:p>
      <w:pPr>
        <w:pStyle w:val="CaptionedFigure"/>
      </w:pPr>
      <w:r>
        <w:drawing>
          <wp:inline>
            <wp:extent cx="5067300" cy="2815166"/>
            <wp:effectExtent b="0" l="0" r="0" t="0"/>
            <wp:docPr descr="" title="" id="37" name="Picture"/>
            <a:graphic>
              <a:graphicData uri="http://schemas.openxmlformats.org/drawingml/2006/picture">
                <pic:pic>
                  <pic:nvPicPr>
                    <pic:cNvPr descr="fig2_schwa_by_register_spgc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281516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Schwa density distributions by LCSH-derived register on SPGC</w:t>
      </w:r>
      <w:r>
        <w:t xml:space="preserve"> </w:t>
      </w:r>
      <w:r>
        <w:t xml:space="preserve">(</w:t>
      </w:r>
      <m:oMath>
        <m:r>
          <m:t>N</m:t>
        </m:r>
        <m:r>
          <m:rPr>
            <m:sty m:val="p"/>
          </m:rPr>
          <m:t>=</m:t>
        </m:r>
        <m:r>
          <m:t>2</m:t>
        </m:r>
        <m:r>
          <m:rPr>
            <m:sty m:val="p"/>
          </m:rPr>
          <m:t>,</m:t>
        </m:r>
        <m:r>
          <m:t>767</m:t>
        </m:r>
      </m:oMath>
      <w:r>
        <w:t xml:space="preserve">). Boxes show interquartile range; whiskers</w:t>
      </w:r>
      <w:r>
        <w:t xml:space="preserve"> </w:t>
      </w:r>
      <m:oMath>
        <m:r>
          <m:t>1.5</m:t>
        </m:r>
        <m:r>
          <m:rPr>
            <m:sty m:val="p"/>
          </m:rPr>
          <m:t>×</m:t>
        </m:r>
      </m:oMath>
      <w:r>
        <w:t xml:space="preserve">IQR; orange line median; white diamond mean.</w:t>
      </w:r>
    </w:p>
    <w:bookmarkEnd w:id="39"/>
    <w:bookmarkEnd w:id="40"/>
    <w:bookmarkStart w:id="47" w:name="sec:ablation"/>
    <w:p>
      <w:pPr>
        <w:pStyle w:val="Heading2"/>
      </w:pPr>
      <w:r>
        <w:t xml:space="preserve">Function-word sensitivity: is schwa density a stopword-frequency proxy?</w:t>
      </w:r>
    </w:p>
    <w:p>
      <w:pPr>
        <w:pStyle w:val="FirstParagraph"/>
      </w:pPr>
      <w:r>
        <w:t xml:space="preserve">A basic concern about any phonological text measure is whether its</w:t>
      </w:r>
      <w:r>
        <w:t xml:space="preserve"> </w:t>
      </w:r>
      <w:r>
        <w:t xml:space="preserve">register signal reduces to the frequency of a small set of heavily</w:t>
      </w:r>
      <w:r>
        <w:t xml:space="preserve"> </w:t>
      </w:r>
      <w:r>
        <w:t xml:space="preserve">reduced function words (</w:t>
      </w:r>
      <w:r>
        <w:rPr>
          <w:i/>
          <w:iCs/>
        </w:rPr>
        <w:t xml:space="preserve">the</w:t>
      </w:r>
      <w:r>
        <w:t xml:space="preserve">,</w:t>
      </w:r>
      <w:r>
        <w:t xml:space="preserve"> </w:t>
      </w:r>
      <w:r>
        <w:rPr>
          <w:i/>
          <w:iCs/>
        </w:rPr>
        <w:t xml:space="preserve">a</w:t>
      </w:r>
      <w:r>
        <w:t xml:space="preserve">,</w:t>
      </w:r>
      <w:r>
        <w:t xml:space="preserve"> </w:t>
      </w:r>
      <w:r>
        <w:rPr>
          <w:i/>
          <w:iCs/>
        </w:rPr>
        <w:t xml:space="preserve">of</w:t>
      </w:r>
      <w:r>
        <w:t xml:space="preserve">,</w:t>
      </w:r>
      <w:r>
        <w:t xml:space="preserve"> </w:t>
      </w:r>
      <w:r>
        <w:rPr>
          <w:i/>
          <w:iCs/>
        </w:rPr>
        <w:t xml:space="preserve">and</w:t>
      </w:r>
      <w:r>
        <w:t xml:space="preserve">,</w:t>
      </w:r>
      <w:r>
        <w:t xml:space="preserve"> </w:t>
      </w:r>
      <w:r>
        <w:rPr>
          <w:i/>
          <w:iCs/>
        </w:rPr>
        <w:t xml:space="preserve">to</w:t>
      </w:r>
      <w:r>
        <w:t xml:space="preserve">, etc.). These words are near-universally pronounced with</w:t>
      </w:r>
      <w:r>
        <w:t xml:space="preserve"> </w:t>
      </w:r>
      <w:r>
        <w:t xml:space="preserve">reduced vowels in standard CMUdict entries, so a corpus with more</w:t>
      </w:r>
      <w:r>
        <w:t xml:space="preserve"> </w:t>
      </w:r>
      <w:r>
        <w:t xml:space="preserve">function-word tokens will mechanically carry more</w:t>
      </w:r>
      <w:r>
        <w:t xml:space="preserve"> </w:t>
      </w:r>
      <w:r>
        <w:rPr>
          <w:rStyle w:val="VerbatimChar"/>
        </w:rPr>
        <w:t xml:space="preserve">AH0</w:t>
      </w:r>
      <w:r>
        <w:t xml:space="preserve"> </w:t>
      </w:r>
      <w:r>
        <w:t xml:space="preserve">phones</w:t>
      </w:r>
      <w:r>
        <w:t xml:space="preserve"> </w:t>
      </w:r>
      <w:r>
        <w:t xml:space="preserve">regardless of any phonological difference in its content vocabulary.</w:t>
      </w:r>
      <w:r>
        <w:t xml:space="preserve"> </w:t>
      </w:r>
      <w:r>
        <w:t xml:space="preserve">If schwa density is, in disguise, just</w:t>
      </w:r>
      <w:r>
        <w:t xml:space="preserve"> </w:t>
      </w:r>
      <w:r>
        <w:rPr>
          <w:i/>
          <w:iCs/>
        </w:rPr>
        <w:t xml:space="preserve">function-word ratio</w:t>
      </w:r>
      <w:r>
        <w:t xml:space="preserve">, the</w:t>
      </w:r>
      <w:r>
        <w:t xml:space="preserve"> </w:t>
      </w:r>
      <w:r>
        <w:t xml:space="preserve">phonological-grounding claim collapses.</w:t>
      </w:r>
    </w:p>
    <w:p>
      <w:pPr>
        <w:pStyle w:val="BodyText"/>
      </w:pPr>
      <w:r>
        <w:t xml:space="preserve">We test this directly by recomputing schwa density on each corpus</w:t>
      </w:r>
      <w:r>
        <w:t xml:space="preserve"> </w:t>
      </w:r>
      <w:r>
        <w:t xml:space="preserve">after masking the 198 English function words in the NLTK stopwords list</w:t>
      </w:r>
      <w:r>
        <w:t xml:space="preserve"> </w:t>
      </w:r>
      <w:r>
        <w:t xml:space="preserve">(Bird et al., 2009).</w:t>
      </w:r>
      <w:r>
        <w:rPr>
          <w:rStyle w:val="FootnoteReference"/>
        </w:rPr>
        <w:footnoteReference w:id="41"/>
      </w:r>
      <w:r>
        <w:t xml:space="preserve"> </w:t>
      </w:r>
      <w:r>
        <w:t xml:space="preserve">Table </w:t>
      </w:r>
      <w:hyperlink w:anchor="tab:ablation">
        <w:r>
          <w:rPr>
            <w:rStyle w:val="Hyperlink"/>
          </w:rPr>
          <w:t xml:space="preserve">2</w:t>
        </w:r>
      </w:hyperlink>
      <w:r>
        <w:t xml:space="preserve"> </w:t>
      </w:r>
      <w:r>
        <w:t xml:space="preserve">reports T1</w:t>
      </w:r>
      <w:r>
        <w:t xml:space="preserve"> </w:t>
      </w:r>
      <m:oMath>
        <m:sSup>
          <m:e>
            <m:r>
              <m:t>η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before and after masking.</w:t>
      </w:r>
    </w:p>
    <w:bookmarkStart w:id="42" w:name="tab:ablation"/>
    <w:p>
      <w:pPr>
        <w:pStyle w:val="TableCaption"/>
      </w:pPr>
      <w:r>
        <w:t xml:space="preserve">Function-word ablation: T1</w:t>
      </w:r>
      <w:r>
        <w:t xml:space="preserve"> </w:t>
      </w:r>
      <m:oMath>
        <m:sSup>
          <m:e>
            <m:r>
              <m:t>η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with NLTK stopwords</w:t>
      </w:r>
      <w:r>
        <w:t xml:space="preserve"> </w:t>
      </w:r>
      <w:r>
        <w:t xml:space="preserve">(198 words) masked before schwa density computation, compared to the</w:t>
      </w:r>
      <w:r>
        <w:t xml:space="preserve"> </w:t>
      </w:r>
      <w:r>
        <w:t xml:space="preserve">unmasked baseline from Table </w:t>
      </w:r>
      <w:hyperlink w:anchor="tab:tests">
        <w:r>
          <w:rPr>
            <w:rStyle w:val="Hyperlink"/>
          </w:rPr>
          <w:t xml:space="preserve">1</w:t>
        </w:r>
      </w:hyperlink>
      <w:r>
        <w:t xml:space="preserve">. Retention is the ratio</w:t>
      </w:r>
      <w:r>
        <w:t xml:space="preserve"> </w:t>
      </w:r>
      <m:oMath>
        <m:sSubSup>
          <m:e>
            <m:r>
              <m:t>η</m:t>
            </m:r>
          </m:e>
          <m:sub>
            <m:r>
              <m:rPr>
                <m:nor/>
                <m:sty m:val="p"/>
              </m:rPr>
              <m:t>masked</m:t>
            </m:r>
          </m:sub>
          <m:sup>
            <m:r>
              <m:t>2</m:t>
            </m:r>
          </m:sup>
        </m:sSubSup>
        <m:r>
          <m:rPr>
            <m:sty m:val="p"/>
          </m:rPr>
          <m:t>/</m:t>
        </m:r>
        <m:sSubSup>
          <m:e>
            <m:r>
              <m:t>η</m:t>
            </m:r>
          </m:e>
          <m:sub>
            <m:r>
              <m:rPr>
                <m:nor/>
                <m:sty m:val="p"/>
              </m:rPr>
              <m:t>unmasked</m:t>
            </m:r>
          </m:sub>
          <m:sup>
            <m:r>
              <m:t>2</m:t>
            </m:r>
          </m:sup>
        </m:sSubSup>
      </m:oMath>
      <w:r>
        <w:t xml:space="preserve">. Mean spread is</w:t>
      </w:r>
      <w:r>
        <w:t xml:space="preserve"> </w:t>
      </w:r>
      <w:r>
        <w:t xml:space="preserve">the difference between the highest- and lowest-register mean schwa</w:t>
      </w:r>
      <w:r>
        <w:t xml:space="preserve"> </w:t>
      </w:r>
      <w:r>
        <w:t xml:space="preserve">density (in</w:t>
      </w:r>
      <w:r>
        <w:t xml:space="preserve"> </w:t>
      </w:r>
      <w:r>
        <w:rPr>
          <w:rStyle w:val="VerbatimChar"/>
        </w:rPr>
        <w:t xml:space="preserve">AH0</w:t>
      </w:r>
      <w:r>
        <w:t xml:space="preserve">/vowels); the spread increases under masking on</w:t>
      </w:r>
      <w:r>
        <w:t xml:space="preserve"> </w:t>
      </w:r>
      <w:r>
        <w:t xml:space="preserve">every corpus, even OANC. Collapse of the phonological claim would</w:t>
      </w:r>
      <w:r>
        <w:t xml:space="preserve"> </w:t>
      </w:r>
      <w:r>
        <w:t xml:space="preserve">predict retention near zero; observed retention is 0.93–1.27.</w:t>
      </w:r>
    </w:p>
    <w:tbl>
      <w:tblPr>
        <w:tblStyle w:val="Table"/>
        <w:tblW w:type="auto" w:w="0"/>
        <w:tblLook w:firstRow="1" w:lastRow="0" w:firstColumn="0" w:lastColumn="0" w:noHBand="0" w:noVBand="0" w:val="0020"/>
        <w:tblCaption w:val="Function-word ablation: T1 \eta^2 with NLTK stopwords (198 words) masked before schwa density computation, compared to the unmasked baseline from Table 1. Retention is the ratio \eta^2_{\text{masked}} / \eta^2_{\text{unmasked}}. Mean spread is the difference between the highest- and lowest-register mean schwa density (in AH0/vowels); the spread increases under masking on every corpus, even OANC. Collapse of the phonological claim would predict retention near zero; observed retention is 0.93–1.27.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t xml:space="preserve">Corpus</w:t>
            </w:r>
          </w:p>
        </w:tc>
        <w:tc>
          <w:tcPr/>
          <w:p>
            <w:pPr>
              <w:pStyle w:val="Compact"/>
              <w:jc w:val="right"/>
            </w:pPr>
            <m:oMath>
              <m:sSup>
                <m:e>
                  <m:r>
                    <m:t>η</m:t>
                  </m:r>
                </m:e>
                <m:sup>
                  <m:r>
                    <m:t>2</m:t>
                  </m:r>
                </m:sup>
              </m:sSup>
            </m:oMath>
            <w:r>
              <w:t xml:space="preserve"> </w:t>
            </w:r>
            <w:r>
              <w:t xml:space="preserve">unmasked</w:t>
            </w:r>
          </w:p>
        </w:tc>
        <w:tc>
          <w:tcPr/>
          <w:p>
            <w:pPr>
              <w:pStyle w:val="Compact"/>
              <w:jc w:val="right"/>
            </w:pPr>
            <m:oMath>
              <m:sSup>
                <m:e>
                  <m:r>
                    <m:t>η</m:t>
                  </m:r>
                </m:e>
                <m:sup>
                  <m:r>
                    <m:t>2</m:t>
                  </m:r>
                </m:sup>
              </m:sSup>
            </m:oMath>
            <w:r>
              <w:t xml:space="preserve"> </w:t>
            </w:r>
            <w:r>
              <w:t xml:space="preserve">masked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Retention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Mean spread</w:t>
            </w:r>
            <w:r>
              <w:t xml:space="preserve"> </w:t>
            </w:r>
            <m:oMath>
              <m:r>
                <m:t>Δ</m:t>
              </m:r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NLTK_multi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0.616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0.781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b/>
                <w:bCs/>
              </w:rPr>
              <w:t xml:space="preserve">1.27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0.052</w:t>
            </w:r>
            <w:r>
              <w:t xml:space="preserve"> </w:t>
            </w:r>
            <m:oMath>
              <m:r>
                <m:rPr>
                  <m:sty m:val="p"/>
                </m:rPr>
                <m:t>→</m:t>
              </m:r>
            </m:oMath>
            <w:r>
              <w:t xml:space="preserve"> </w:t>
            </w:r>
            <w:r>
              <w:t xml:space="preserve">0.083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SPGC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0.365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0.434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b/>
                <w:bCs/>
              </w:rPr>
              <w:t xml:space="preserve">1.19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0.064</w:t>
            </w:r>
            <w:r>
              <w:t xml:space="preserve"> </w:t>
            </w:r>
            <m:oMath>
              <m:r>
                <m:rPr>
                  <m:sty m:val="p"/>
                </m:rPr>
                <m:t>→</m:t>
              </m:r>
            </m:oMath>
            <w:r>
              <w:t xml:space="preserve"> </w:t>
            </w:r>
            <w:r>
              <w:t xml:space="preserve">0.105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Brown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0.202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0.250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b/>
                <w:bCs/>
              </w:rPr>
              <w:t xml:space="preserve">1.24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0.044</w:t>
            </w:r>
            <w:r>
              <w:t xml:space="preserve"> </w:t>
            </w:r>
            <m:oMath>
              <m:r>
                <m:rPr>
                  <m:sty m:val="p"/>
                </m:rPr>
                <m:t>→</m:t>
              </m:r>
            </m:oMath>
            <w:r>
              <w:t xml:space="preserve"> </w:t>
            </w:r>
            <w:r>
              <w:t xml:space="preserve">0.066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OANC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0.847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0.786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0.93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0.131</w:t>
            </w:r>
            <w:r>
              <w:t xml:space="preserve"> </w:t>
            </w:r>
            <m:oMath>
              <m:r>
                <m:rPr>
                  <m:sty m:val="p"/>
                </m:rPr>
                <m:t>→</m:t>
              </m:r>
            </m:oMath>
            <w:r>
              <w:t xml:space="preserve"> </w:t>
            </w:r>
            <w:r>
              <w:t xml:space="preserve">0.161</w:t>
            </w:r>
          </w:p>
        </w:tc>
      </w:tr>
    </w:tbl>
    <w:bookmarkEnd w:id="42"/>
    <w:p>
      <w:pPr>
        <w:pStyle w:val="BodyText"/>
      </w:pPr>
      <w:r>
        <w:t xml:space="preserve">The prediction that schwa density is a function-word-frequency proxy</w:t>
      </w:r>
      <w:r>
        <w:t xml:space="preserve"> </w:t>
      </w:r>
      <w:r>
        <w:t xml:space="preserve">is clearly falsified. On three of four corpora, masking function words</w:t>
      </w:r>
      <w:r>
        <w:t xml:space="preserve"> </w:t>
      </w:r>
      <w:r>
        <w:rPr>
          <w:i/>
          <w:iCs/>
        </w:rPr>
        <w:t xml:space="preserve">increases</w:t>
      </w:r>
      <w:r>
        <w:t xml:space="preserve"> </w:t>
      </w:r>
      <w:r>
        <w:t xml:space="preserve">register discrimination. On OANC, retention dips</w:t>
      </w:r>
      <w:r>
        <w:t xml:space="preserve"> </w:t>
      </w:r>
      <w:r>
        <w:t xml:space="preserve">slightly but remains well above noise. The geometric explanation</w:t>
      </w:r>
      <w:r>
        <w:t xml:space="preserve"> </w:t>
      </w:r>
      <w:r>
        <w:t xml:space="preserve">appears in Figure </w:t>
      </w:r>
      <w:hyperlink w:anchor="fig:ablation">
        <w:r>
          <w:rPr>
            <w:rStyle w:val="Hyperlink"/>
          </w:rPr>
          <w:t xml:space="preserve">3</w:t>
        </w:r>
      </w:hyperlink>
      <w:r>
        <w:t xml:space="preserve">: function words carry near-constant</w:t>
      </w:r>
      <w:r>
        <w:t xml:space="preserve"> </w:t>
      </w:r>
      <w:r>
        <w:t xml:space="preserve">heavy schwa across registers, so they drag every register toward a</w:t>
      </w:r>
      <w:r>
        <w:t xml:space="preserve"> </w:t>
      </w:r>
      <w:r>
        <w:t xml:space="preserve">common mean. Removing them exposes content-word schwa variation, and</w:t>
      </w:r>
      <w:r>
        <w:t xml:space="preserve"> </w:t>
      </w:r>
      <w:r>
        <w:t xml:space="preserve">the between-register means spread apart (mean spread increases on all</w:t>
      </w:r>
      <w:r>
        <w:t xml:space="preserve"> </w:t>
      </w:r>
      <w:r>
        <w:t xml:space="preserve">four corpora). The signal we are measuring lives in the content-word</w:t>
      </w:r>
      <w:r>
        <w:t xml:space="preserve"> </w:t>
      </w:r>
      <w:r>
        <w:t xml:space="preserve">lexicon, not the stopword tail.</w:t>
      </w:r>
    </w:p>
    <w:bookmarkStart w:id="46" w:name="fig:ablation"/>
    <w:p>
      <w:pPr>
        <w:pStyle w:val="CaptionedFigure"/>
      </w:pPr>
      <w:r>
        <w:drawing>
          <wp:inline>
            <wp:extent cx="5067300" cy="6041065"/>
            <wp:effectExtent b="0" l="0" r="0" t="0"/>
            <wp:docPr descr="" title="" id="44" name="Picture"/>
            <a:graphic>
              <a:graphicData uri="http://schemas.openxmlformats.org/drawingml/2006/picture">
                <pic:pic>
                  <pic:nvPicPr>
                    <pic:cNvPr descr="fig3_ablation_unmasking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604106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Schwa density by register, before and after masking the 198</w:t>
      </w:r>
      <w:r>
        <w:t xml:space="preserve"> </w:t>
      </w:r>
      <w:r>
        <w:t xml:space="preserve">NLTK English stopwords. Boxes show interquartile range with median; red</w:t>
      </w:r>
      <w:r>
        <w:t xml:space="preserve"> </w:t>
      </w:r>
      <w:r>
        <w:t xml:space="preserve">markers are register means. Across all four corpora, removing</w:t>
      </w:r>
      <w:r>
        <w:t xml:space="preserve"> </w:t>
      </w:r>
      <w:r>
        <w:t xml:space="preserve">function-word tokens spreads the register means apart rather than</w:t>
      </w:r>
      <w:r>
        <w:t xml:space="preserve"> </w:t>
      </w:r>
      <w:r>
        <w:t xml:space="preserve">collapsing them, indicating that function words act as a common-mean</w:t>
      </w:r>
      <w:r>
        <w:t xml:space="preserve"> </w:t>
      </w:r>
      <w:r>
        <w:t xml:space="preserve">noise floor rather than as the source of the register signal. OANC</w:t>
      </w:r>
      <w:r>
        <w:t xml:space="preserve"> </w:t>
      </w:r>
      <w:r>
        <w:t xml:space="preserve">shows the smallest relative gain (consistent with the two-regime</w:t>
      </w:r>
      <w:r>
        <w:t xml:space="preserve"> </w:t>
      </w:r>
      <w:r>
        <w:t xml:space="preserve">interpretation developed in §</w:t>
      </w:r>
      <w:hyperlink w:anchor="sec:regimes">
        <w:r>
          <w:rPr>
            <w:rStyle w:val="Hyperlink"/>
          </w:rPr>
          <w:t xml:space="preserve">4.1</w:t>
        </w:r>
      </w:hyperlink>
      <w:r>
        <w:t xml:space="preserve">) but still exhibits</w:t>
      </w:r>
      <w:r>
        <w:t xml:space="preserve"> </w:t>
      </w:r>
      <w:r>
        <w:t xml:space="preserve">spread amplification.</w:t>
      </w:r>
    </w:p>
    <w:bookmarkEnd w:id="46"/>
    <w:p>
      <w:pPr>
        <w:pStyle w:val="BodyText"/>
      </w:pPr>
      <w:r>
        <w:t xml:space="preserve">This result converts the two-regime framing developed in the Discussion</w:t>
      </w:r>
      <w:r>
        <w:t xml:space="preserve"> </w:t>
      </w:r>
      <w:r>
        <w:t xml:space="preserve">(§</w:t>
      </w:r>
      <w:hyperlink w:anchor="sec:regimes">
        <w:r>
          <w:rPr>
            <w:rStyle w:val="Hyperlink"/>
          </w:rPr>
          <w:t xml:space="preserve">4.1</w:t>
        </w:r>
      </w:hyperlink>
      <w:r>
        <w:t xml:space="preserve">) from interpretive gloss into empirical finding.</w:t>
      </w:r>
      <w:r>
        <w:t xml:space="preserve"> </w:t>
      </w:r>
      <w:r>
        <w:t xml:space="preserve">Retention above unity on NLTK, SPGC, and Brown identifies those corpora</w:t>
      </w:r>
      <w:r>
        <w:t xml:space="preserve"> </w:t>
      </w:r>
      <w:r>
        <w:t xml:space="preserve">as the</w:t>
      </w:r>
      <w:r>
        <w:t xml:space="preserve"> </w:t>
      </w:r>
      <w:r>
        <w:rPr>
          <w:i/>
          <w:iCs/>
        </w:rPr>
        <w:t xml:space="preserve">Primary Stylistic</w:t>
      </w:r>
      <w:r>
        <w:t xml:space="preserve"> </w:t>
      </w:r>
      <w:r>
        <w:t xml:space="preserve">regime: schwa density is driven by</w:t>
      </w:r>
      <w:r>
        <w:t xml:space="preserve"> </w:t>
      </w:r>
      <w:r>
        <w:t xml:space="preserve">content-word phonology and is uncorrelated with the stopword frequency</w:t>
      </w:r>
      <w:r>
        <w:t xml:space="preserve"> </w:t>
      </w:r>
      <w:r>
        <w:t xml:space="preserve">floor. OANC’s near-unity retention (0.93) with increased absolute spread</w:t>
      </w:r>
      <w:r>
        <w:t xml:space="preserve"> </w:t>
      </w:r>
      <w:r>
        <w:t xml:space="preserve">identifies it as the</w:t>
      </w:r>
      <w:r>
        <w:t xml:space="preserve"> </w:t>
      </w:r>
      <w:r>
        <w:rPr>
          <w:i/>
          <w:iCs/>
        </w:rPr>
        <w:t xml:space="preserve">Secondary Modality</w:t>
      </w:r>
      <w:r>
        <w:t xml:space="preserve"> </w:t>
      </w:r>
      <w:r>
        <w:t xml:space="preserve">regime: schwa density</w:t>
      </w:r>
      <w:r>
        <w:t xml:space="preserve"> </w:t>
      </w:r>
      <w:r>
        <w:t xml:space="preserve">still carries register information, but part of that information is</w:t>
      </w:r>
      <w:r>
        <w:t xml:space="preserve"> </w:t>
      </w:r>
      <w:r>
        <w:t xml:space="preserve">shared with function-word frequency — consistent with a corpus where</w:t>
      </w:r>
      <w:r>
        <w:t xml:space="preserve"> </w:t>
      </w:r>
      <w:r>
        <w:t xml:space="preserve">register variation runs along a speech-versus-writing axis on which</w:t>
      </w:r>
      <w:r>
        <w:t xml:space="preserve"> </w:t>
      </w:r>
      <w:r>
        <w:t xml:space="preserve">function-word frequency itself varies.</w:t>
      </w:r>
    </w:p>
    <w:bookmarkEnd w:id="47"/>
    <w:bookmarkStart w:id="49" w:name="sec:partial-joint"/>
    <w:p>
      <w:pPr>
        <w:pStyle w:val="Heading2"/>
      </w:pPr>
      <w:r>
        <w:t xml:space="preserve">Joint partial</w:t>
      </w:r>
      <w:r>
        <w:t xml:space="preserve"> </w:t>
      </w:r>
      <m:oMath>
        <m:sSup>
          <m:e>
            <m:r>
              <m:t>η</m:t>
            </m:r>
          </m:e>
          <m:sup>
            <m:r>
              <m:t>2</m:t>
            </m:r>
          </m:sup>
        </m:sSup>
      </m:oMath>
      <w:r>
        <w:t xml:space="preserve">: phonological content beyond surface lexical signal</w:t>
      </w:r>
    </w:p>
    <w:p>
      <w:pPr>
        <w:pStyle w:val="FirstParagraph"/>
      </w:pPr>
      <w:r>
        <w:t xml:space="preserve">Schwa density correlates strongly with mean syllables per word across</w:t>
      </w:r>
      <w:r>
        <w:t xml:space="preserve"> </w:t>
      </w:r>
      <w:r>
        <w:t xml:space="preserve">all corpora (</w:t>
      </w:r>
      <m:oMath>
        <m:r>
          <m:t>r</m:t>
        </m:r>
        <m:r>
          <m:rPr>
            <m:sty m:val="p"/>
          </m:rPr>
          <m:t>=</m:t>
        </m:r>
        <m:r>
          <m:t>0.79</m:t>
        </m:r>
      </m:oMath>
      <w:r>
        <w:t xml:space="preserve"> </w:t>
      </w:r>
      <w:r>
        <w:t xml:space="preserve">to</w:t>
      </w:r>
      <w:r>
        <w:t xml:space="preserve"> </w:t>
      </w:r>
      <m:oMath>
        <m:r>
          <m:t>0.94</m:t>
        </m:r>
      </m:oMath>
      <w:r>
        <w:t xml:space="preserve">). A natural concern is that schwa</w:t>
      </w:r>
      <w:r>
        <w:t xml:space="preserve"> </w:t>
      </w:r>
      <w:r>
        <w:t xml:space="preserve">is essentially a one-feature compression of FK’s syllable term plus</w:t>
      </w:r>
      <w:r>
        <w:t xml:space="preserve"> </w:t>
      </w:r>
      <w:r>
        <w:t xml:space="preserve">related surface features. We test this by computing partial</w:t>
      </w:r>
      <w:r>
        <w:t xml:space="preserve"> </w:t>
      </w:r>
      <m:oMath>
        <m:sSup>
          <m:e>
            <m:r>
              <m:t>η</m:t>
            </m:r>
          </m:e>
          <m:sup>
            <m:r>
              <m:t>2</m:t>
            </m:r>
          </m:sup>
        </m:sSup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schwa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register</m:t>
            </m:r>
            <m:r>
              <m:rPr>
                <m:sty m:val="p"/>
              </m:rPr>
              <m:t>∣</m:t>
            </m:r>
            <m:r>
              <m:rPr>
                <m:nor/>
                <m:sty m:val="p"/>
              </m:rPr>
              <m:t>controls</m:t>
            </m:r>
          </m:e>
        </m:d>
      </m:oMath>
      <w:r>
        <w:t xml:space="preserve"> </w:t>
      </w:r>
      <w:r>
        <w:t xml:space="preserve">for two</w:t>
      </w:r>
      <w:r>
        <w:t xml:space="preserve"> </w:t>
      </w:r>
      <w:r>
        <w:t xml:space="preserve">control sets: syllables alone, and the joint set</w:t>
      </w:r>
      <w:r>
        <w:t xml:space="preserve"> </w:t>
      </w:r>
      <m:oMath>
        <m:r>
          <m:rPr>
            <m:sty m:val="p"/>
          </m:rPr>
          <m:t>{</m:t>
        </m:r>
        <m:r>
          <m:rPr>
            <m:nor/>
            <m:sty m:val="p"/>
          </m:rPr>
          <m:t>syllables</m:t>
        </m:r>
        <m:r>
          <m:rPr>
            <m:sty m:val="p"/>
          </m:rPr>
          <m:t>,</m:t>
        </m:r>
        <m:r>
          <m:rPr>
            <m:nor/>
            <m:sty m:val="p"/>
          </m:rPr>
          <m:t>mean word length</m:t>
        </m:r>
        <m:r>
          <m:rPr>
            <m:sty m:val="p"/>
          </m:rPr>
          <m:t>,</m:t>
        </m:r>
        <m:r>
          <m:rPr>
            <m:nor/>
            <m:sty m:val="p"/>
          </m:rPr>
          <m:t>Latinate ratio</m:t>
        </m:r>
        <m:r>
          <m:rPr>
            <m:sty m:val="p"/>
          </m:rPr>
          <m:t>}</m:t>
        </m:r>
      </m:oMath>
      <w:r>
        <w:t xml:space="preserve">.</w:t>
      </w:r>
    </w:p>
    <w:bookmarkStart w:id="48" w:name="tab:partial"/>
    <w:p>
      <w:pPr>
        <w:pStyle w:val="TableCaption"/>
      </w:pPr>
      <w:r>
        <w:t xml:space="preserve">Partial</w:t>
      </w:r>
      <w:r>
        <w:t xml:space="preserve"> </w:t>
      </w:r>
      <m:oMath>
        <m:sSup>
          <m:e>
            <m:r>
              <m:t>η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of schwa on register, controlling for</w:t>
      </w:r>
      <w:r>
        <w:t xml:space="preserve"> </w:t>
      </w:r>
      <w:r>
        <w:t xml:space="preserve">syllables per word and the joint set</w:t>
      </w:r>
      <w:r>
        <w:t xml:space="preserve"> </w:t>
      </w:r>
      <w:r>
        <w:t xml:space="preserve">{syllables, mean word length, Latinate ratio}. On the two</w:t>
      </w:r>
      <w:r>
        <w:t xml:space="preserve"> </w:t>
      </w:r>
      <w:r>
        <w:t xml:space="preserve">pre-registered confirmatory corpora (NLTK and SPGC), schwa retains</w:t>
      </w:r>
      <w:r>
        <w:t xml:space="preserve"> </w:t>
      </w:r>
      <w:r>
        <w:t xml:space="preserve">46–53% of its register-discrimination after absorbing the joint</w:t>
      </w:r>
      <w:r>
        <w:t xml:space="preserve"> </w:t>
      </w:r>
      <w:r>
        <w:t xml:space="preserve">surface-lexical signal, well above the T1 crud floor. On Brown and</w:t>
      </w:r>
      <w:r>
        <w:t xml:space="preserve"> </w:t>
      </w:r>
      <w:r>
        <w:t xml:space="preserve">OANC, schwa is largely a compression of the joint signal.</w:t>
      </w:r>
    </w:p>
    <w:tbl>
      <w:tblPr>
        <w:tblStyle w:val="Table"/>
        <w:tblW w:type="auto" w:w="0"/>
        <w:tblLook w:firstRow="1" w:lastRow="0" w:firstColumn="0" w:lastColumn="0" w:noHBand="0" w:noVBand="0" w:val="0020"/>
        <w:tblCaption w:val="Partial \eta^2 of schwa on register, controlling for syllables per word and the joint set {syllables, mean word length, Latinate ratio}. On the two pre-registered confirmatory corpora (NLTK and SPGC), schwa retains 46–53% of its register-discrimination after absorbing the joint surface-lexical signal, well above the T1 crud floor. On Brown and OANC, schwa is largely a compression of the joint signal.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t xml:space="preserve">Corpus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Raw</w:t>
            </w:r>
            <w:r>
              <w:t xml:space="preserve"> </w:t>
            </w:r>
            <m:oMath>
              <m:sSup>
                <m:e>
                  <m:r>
                    <m:t>η</m:t>
                  </m:r>
                </m:e>
                <m:sup>
                  <m:r>
                    <m:t>2</m:t>
                  </m:r>
                </m:sup>
              </m:sSup>
            </m:oMath>
          </w:p>
        </w:tc>
        <w:tc>
          <w:tcPr/>
          <w:p>
            <w:pPr>
              <w:pStyle w:val="Compact"/>
              <w:jc w:val="right"/>
            </w:pPr>
            <w:r>
              <w:t xml:space="preserve">Partial</w:t>
            </w:r>
            <w:r>
              <w:t xml:space="preserve"> </w:t>
            </w:r>
            <m:oMath>
              <m:sSup>
                <m:e>
                  <m:r>
                    <m:t>η</m:t>
                  </m:r>
                </m:e>
                <m:sup>
                  <m:r>
                    <m:t>2</m:t>
                  </m:r>
                </m:sup>
              </m:sSup>
            </m:oMath>
            <w:r>
              <w:t xml:space="preserve"> </w:t>
            </w:r>
            <m:oMath>
              <m:r>
                <m:rPr>
                  <m:sty m:val="p"/>
                </m:rPr>
                <m:t>∣</m:t>
              </m:r>
            </m:oMath>
            <w:r>
              <w:t xml:space="preserve">syll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Partial</w:t>
            </w:r>
            <w:r>
              <w:t xml:space="preserve"> </w:t>
            </w:r>
            <m:oMath>
              <m:sSup>
                <m:e>
                  <m:r>
                    <m:t>η</m:t>
                  </m:r>
                </m:e>
                <m:sup>
                  <m:r>
                    <m:t>2</m:t>
                  </m:r>
                </m:sup>
              </m:sSup>
            </m:oMath>
            <w:r>
              <w:t xml:space="preserve"> </w:t>
            </w:r>
            <m:oMath>
              <m:r>
                <m:rPr>
                  <m:sty m:val="p"/>
                </m:rPr>
                <m:t>∣</m:t>
              </m:r>
            </m:oMath>
            <w:r>
              <w:t xml:space="preserve">joint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Joint retain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Above 0.04?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Brown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0.202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0.032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0.030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15%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no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NLTK_multi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0.616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0.510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b/>
                <w:bCs/>
              </w:rPr>
              <w:t xml:space="preserve">0.282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b/>
                <w:bCs/>
              </w:rPr>
              <w:t xml:space="preserve">46%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b/>
                <w:bCs/>
              </w:rPr>
              <w:t xml:space="preserve">yes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SPGC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0.365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0.276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b/>
                <w:bCs/>
              </w:rPr>
              <w:t xml:space="preserve">0.192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b/>
                <w:bCs/>
              </w:rPr>
              <w:t xml:space="preserve">53%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b/>
                <w:bCs/>
              </w:rPr>
              <w:t xml:space="preserve">yes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OANC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0.847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0.148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0.109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13%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yes (marginal)</w:t>
            </w:r>
          </w:p>
        </w:tc>
      </w:tr>
    </w:tbl>
    <w:bookmarkEnd w:id="48"/>
    <w:p>
      <w:pPr>
        <w:pStyle w:val="BodyText"/>
      </w:pPr>
      <w:r>
        <w:t xml:space="preserve">On the two pre-registered confirmatory corpora, the answer is clear:</w:t>
      </w:r>
      <w:r>
        <w:t xml:space="preserve"> </w:t>
      </w:r>
      <w:r>
        <w:t xml:space="preserve">schwa density carries register signal that is not reducible to the</w:t>
      </w:r>
      <w:r>
        <w:t xml:space="preserve"> </w:t>
      </w:r>
      <w:r>
        <w:t xml:space="preserve">joint set of best surface lexical features. On Brown and OANC, it</w:t>
      </w:r>
      <w:r>
        <w:t xml:space="preserve"> </w:t>
      </w:r>
      <w:r>
        <w:t xml:space="preserve">does not.</w:t>
      </w:r>
    </w:p>
    <w:bookmarkEnd w:id="49"/>
    <w:bookmarkStart w:id="51" w:name="single-predictor-classification-accuracy"/>
    <w:p>
      <w:pPr>
        <w:pStyle w:val="Heading2"/>
      </w:pPr>
      <w:r>
        <w:t xml:space="preserve">Single-predictor classification accuracy</w:t>
      </w:r>
    </w:p>
    <w:p>
      <w:pPr>
        <w:pStyle w:val="FirstParagraph"/>
      </w:pPr>
      <w:r>
        <w:t xml:space="preserve">A complementary test reports 5-fold cross-validated logistic regression</w:t>
      </w:r>
      <w:r>
        <w:t xml:space="preserve"> </w:t>
      </w:r>
      <w:r>
        <w:t xml:space="preserve">accuracy with each candidate feature standardised and used as a single</w:t>
      </w:r>
      <w:r>
        <w:t xml:space="preserve"> </w:t>
      </w:r>
      <w:r>
        <w:t xml:space="preserve">predictor of register.</w:t>
      </w:r>
    </w:p>
    <w:bookmarkStart w:id="50" w:name="tab:cv"/>
    <w:p>
      <w:pPr>
        <w:pStyle w:val="TableCaption"/>
      </w:pPr>
      <w:r>
        <w:t xml:space="preserve">5-fold cross-validated logistic regression accuracy with each</w:t>
      </w:r>
      <w:r>
        <w:t xml:space="preserve"> </w:t>
      </w:r>
      <w:r>
        <w:t xml:space="preserve">single standardised predictor. Schwa wins or ties on three of four</w:t>
      </w:r>
      <w:r>
        <w:t xml:space="preserve"> </w:t>
      </w:r>
      <w:r>
        <w:t xml:space="preserve">corpora, including both pre-registered confirmatory corpora. On OANC,</w:t>
      </w:r>
      <w:r>
        <w:t xml:space="preserve"> </w:t>
      </w:r>
      <w:r>
        <w:t xml:space="preserve">mean syllables per word edges out schwa, consistent with the</w:t>
      </w:r>
      <w:r>
        <w:t xml:space="preserve"> </w:t>
      </w:r>
      <m:oMath>
        <m:sSup>
          <m:e>
            <m:r>
              <m:t>η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and partial-</w:t>
      </w:r>
      <m:oMath>
        <m:sSup>
          <m:e>
            <m:r>
              <m:t>η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results.</w:t>
      </w:r>
    </w:p>
    <w:tbl>
      <w:tblPr>
        <w:tblStyle w:val="Table"/>
        <w:tblW w:type="auto" w:w="0"/>
        <w:tblLook w:firstRow="1" w:lastRow="0" w:firstColumn="0" w:lastColumn="0" w:noHBand="0" w:noVBand="0" w:val="0020"/>
        <w:tblCaption w:val="5-fold cross-validated logistic regression accuracy with each single standardised predictor. Schwa wins or ties on three of four corpora, including both pre-registered confirmatory corpora. On OANC, mean syllables per word edges out schwa, consistent with the \eta^2 and partial-\eta^2 results."/>
      </w:tblPr>
      <w:tblGrid>
        <w:gridCol w:w="1131"/>
        <w:gridCol w:w="1131"/>
        <w:gridCol w:w="1131"/>
        <w:gridCol w:w="1131"/>
        <w:gridCol w:w="1131"/>
        <w:gridCol w:w="1131"/>
        <w:gridCol w:w="1131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t xml:space="preserve">Corpus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Baseline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schwa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FK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syllables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mwl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latinate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Brown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0.256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b/>
                <w:bCs/>
              </w:rPr>
              <w:t xml:space="preserve">0.345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0.288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0.323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0.332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0.284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NLTK_multi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0.422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b/>
                <w:bCs/>
              </w:rPr>
              <w:t xml:space="preserve">0.593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0.422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0.459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0.526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0.541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SPGC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0.088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b/>
                <w:bCs/>
              </w:rPr>
              <w:t xml:space="preserve">0.206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0.203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0.203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0.179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0.205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OANC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0.373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0.813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0.680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b/>
                <w:bCs/>
              </w:rPr>
              <w:t xml:space="preserve">0.870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0.851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0.795</w:t>
            </w:r>
          </w:p>
        </w:tc>
      </w:tr>
    </w:tbl>
    <w:bookmarkEnd w:id="50"/>
    <w:bookmarkEnd w:id="51"/>
    <w:bookmarkStart w:id="53" w:name="sec:bucket-sens"/>
    <w:p>
      <w:pPr>
        <w:pStyle w:val="Heading2"/>
      </w:pPr>
      <w:r>
        <w:t xml:space="preserve">Bucket-threshold sensitivity</w:t>
      </w:r>
    </w:p>
    <w:p>
      <w:pPr>
        <w:pStyle w:val="FirstParagraph"/>
      </w:pPr>
      <w:r>
        <w:t xml:space="preserve">The pre-registration locked the minimum-register-bucket size at</w:t>
      </w:r>
      <w:r>
        <w:t xml:space="preserve"> </w:t>
      </w:r>
      <m:oMath>
        <m:r>
          <m:t>N</m:t>
        </m:r>
        <m:r>
          <m:rPr>
            <m:sty m:val="p"/>
          </m:rPr>
          <m:t>≥</m:t>
        </m:r>
        <m:r>
          <m:t>30</m:t>
        </m:r>
      </m:oMath>
      <w:r>
        <w:t xml:space="preserve"> </w:t>
      </w:r>
      <w:r>
        <w:t xml:space="preserve">(prereg §2). This threshold excluded</w:t>
      </w:r>
      <w:r>
        <w:t xml:space="preserve"> </w:t>
      </w:r>
      <w:r>
        <w:t xml:space="preserve">9 of Brown’s 15 registers (60% of raw bucket count; 40% of texts)</w:t>
      </w:r>
      <w:r>
        <w:t xml:space="preserve"> </w:t>
      </w:r>
      <w:r>
        <w:t xml:space="preserve">and 2 of OANC’s 8 registers. A reviewer could reasonably ask whether</w:t>
      </w:r>
      <w:r>
        <w:t xml:space="preserve"> </w:t>
      </w:r>
      <w:r>
        <w:t xml:space="preserve">the T1 result is sensitive to this choice. We rerun T1</w:t>
      </w:r>
      <w:r>
        <w:t xml:space="preserve"> </w:t>
      </w:r>
      <m:oMath>
        <m:sSup>
          <m:e>
            <m:r>
              <m:t>η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at</w:t>
      </w:r>
      <w:r>
        <w:t xml:space="preserve"> </w:t>
      </w:r>
      <m:oMath>
        <m:r>
          <m:t>N</m:t>
        </m:r>
        <m:r>
          <m:rPr>
            <m:sty m:val="p"/>
          </m:rPr>
          <m:t>≥</m:t>
        </m:r>
        <m:r>
          <m:t>20</m:t>
        </m:r>
      </m:oMath>
      <w:r>
        <w:t xml:space="preserve">,</w:t>
      </w:r>
      <w:r>
        <w:t xml:space="preserve"> </w:t>
      </w:r>
      <m:oMath>
        <m:r>
          <m:t>N</m:t>
        </m:r>
        <m:r>
          <m:rPr>
            <m:sty m:val="p"/>
          </m:rPr>
          <m:t>≥</m:t>
        </m:r>
        <m:r>
          <m:t>30</m:t>
        </m:r>
      </m:oMath>
      <w:r>
        <w:t xml:space="preserve"> </w:t>
      </w:r>
      <w:r>
        <w:t xml:space="preserve">(locked), and</w:t>
      </w:r>
      <w:r>
        <w:t xml:space="preserve"> </w:t>
      </w:r>
      <m:oMath>
        <m:r>
          <m:t>N</m:t>
        </m:r>
        <m:r>
          <m:rPr>
            <m:sty m:val="p"/>
          </m:rPr>
          <m:t>≥</m:t>
        </m:r>
        <m:r>
          <m:t>50</m:t>
        </m:r>
      </m:oMath>
      <w:r>
        <w:t xml:space="preserve"> </w:t>
      </w:r>
      <w:r>
        <w:t xml:space="preserve">on all four</w:t>
      </w:r>
      <w:r>
        <w:t xml:space="preserve"> </w:t>
      </w:r>
      <w:r>
        <w:t xml:space="preserve">corpora (Table </w:t>
      </w:r>
      <w:hyperlink w:anchor="tab:bucket-sens">
        <w:r>
          <w:rPr>
            <w:rStyle w:val="Hyperlink"/>
          </w:rPr>
          <w:t xml:space="preserve">5</w:t>
        </w:r>
      </w:hyperlink>
      <w:r>
        <w:t xml:space="preserve">).</w:t>
      </w:r>
    </w:p>
    <w:bookmarkStart w:id="52" w:name="tab:bucket-sens"/>
    <w:p>
      <w:pPr>
        <w:pStyle w:val="TableCaption"/>
      </w:pPr>
      <w:r>
        <w:t xml:space="preserve">T1</w:t>
      </w:r>
      <w:r>
        <w:t xml:space="preserve"> </w:t>
      </w:r>
      <m:oMath>
        <m:sSup>
          <m:e>
            <m:r>
              <m:t>η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across bucket-threshold choices (</w:t>
      </w:r>
      <m:oMath>
        <m:r>
          <m:t>N</m:t>
        </m:r>
        <m:r>
          <m:rPr>
            <m:sty m:val="p"/>
          </m:rPr>
          <m:t>≥</m:t>
        </m:r>
        <m:r>
          <m:t>20</m:t>
        </m:r>
      </m:oMath>
      <w:r>
        <w:t xml:space="preserve">,</w:t>
      </w:r>
      <w:r>
        <w:t xml:space="preserve"> </w:t>
      </w:r>
      <m:oMath>
        <m:r>
          <m:t>N</m:t>
        </m:r>
        <m:r>
          <m:rPr>
            <m:sty m:val="p"/>
          </m:rPr>
          <m:t>≥</m:t>
        </m:r>
        <m:r>
          <m:t>30</m:t>
        </m:r>
      </m:oMath>
      <w:r>
        <w:t xml:space="preserve">,</w:t>
      </w:r>
      <w:r>
        <w:t xml:space="preserve"> </w:t>
      </w:r>
      <m:oMath>
        <m:r>
          <m:t>N</m:t>
        </m:r>
        <m:r>
          <m:rPr>
            <m:sty m:val="p"/>
          </m:rPr>
          <m:t>≥</m:t>
        </m:r>
        <m:r>
          <m:t>50</m:t>
        </m:r>
      </m:oMath>
      <w:r>
        <w:t xml:space="preserve">). T1 passes at every feasible threshold on</w:t>
      </w:r>
      <w:r>
        <w:t xml:space="preserve"> </w:t>
      </w:r>
      <w:r>
        <w:t xml:space="preserve">every corpus. SPGC and OANC are essentially insensitive to threshold</w:t>
      </w:r>
      <w:r>
        <w:t xml:space="preserve"> </w:t>
      </w:r>
      <w:r>
        <w:t xml:space="preserve">choice (all 12 SPGC LCSH buckets and 5 of 6 OANC registers qualify at</w:t>
      </w:r>
      <w:r>
        <w:t xml:space="preserve"> </w:t>
      </w:r>
      <w:r>
        <w:t xml:space="preserve">every level). The only corpus with meaningful movement is Brown, and</w:t>
      </w:r>
      <w:r>
        <w:t xml:space="preserve"> </w:t>
      </w:r>
      <w:r>
        <w:t xml:space="preserve">the movement runs opposite to the worry: including more small registers</w:t>
      </w:r>
      <w:r>
        <w:t xml:space="preserve"> </w:t>
      </w:r>
      <w:r>
        <w:t xml:space="preserve">(N</w:t>
      </w:r>
      <w:r>
        <w:t xml:space="preserve"> </w:t>
      </w:r>
      <m:oMath>
        <m:r>
          <m:rPr>
            <m:sty m:val="p"/>
          </m:rPr>
          <m:t>≥</m:t>
        </m:r>
      </m:oMath>
      <w:r>
        <w:t xml:space="preserve"> </w:t>
      </w:r>
      <w:r>
        <w:t xml:space="preserve">20)</w:t>
      </w:r>
      <w:r>
        <w:t xml:space="preserve"> </w:t>
      </w:r>
      <w:r>
        <w:rPr>
          <w:i/>
          <w:iCs/>
        </w:rPr>
        <w:t xml:space="preserve">raises</w:t>
      </w:r>
      <w:r>
        <w:t xml:space="preserve"> </w:t>
      </w:r>
      <w:r>
        <w:t xml:space="preserve">Brown’s</w:t>
      </w:r>
      <w:r>
        <w:t xml:space="preserve"> </w:t>
      </w:r>
      <m:oMath>
        <m:sSup>
          <m:e>
            <m:r>
              <m:t>η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from 0.202 to 0.594.</w:t>
      </w:r>
      <w:r>
        <w:t xml:space="preserve"> </w:t>
      </w:r>
      <w:r>
        <w:t xml:space="preserve">The locked</w:t>
      </w:r>
      <w:r>
        <w:t xml:space="preserve"> </w:t>
      </w:r>
      <m:oMath>
        <m:r>
          <m:t>N</m:t>
        </m:r>
        <m:r>
          <m:rPr>
            <m:sty m:val="p"/>
          </m:rPr>
          <m:t>≥</m:t>
        </m:r>
        <m:r>
          <m:t>30</m:t>
        </m:r>
      </m:oMath>
      <w:r>
        <w:t xml:space="preserve"> </w:t>
      </w:r>
      <w:r>
        <w:t xml:space="preserve">threshold is conservative for Brown, not</w:t>
      </w:r>
      <w:r>
        <w:t xml:space="preserve"> </w:t>
      </w:r>
      <w:r>
        <w:t xml:space="preserve">permissive.</w:t>
      </w:r>
    </w:p>
    <w:tbl>
      <w:tblPr>
        <w:tblStyle w:val="Table"/>
        <w:tblW w:type="auto" w:w="0"/>
        <w:tblLook w:firstRow="1" w:lastRow="0" w:firstColumn="0" w:lastColumn="0" w:noHBand="0" w:noVBand="0" w:val="0020"/>
        <w:tblCaption w:val="T1 \eta^2 across bucket-threshold choices (N \ge 20, N \ge 30, N \ge 50). T1 passes at every feasible threshold on every corpus. SPGC and OANC are essentially insensitive to threshold choice (all 12 SPGC LCSH buckets and 5 of 6 OANC registers qualify at every level). The only corpus with meaningful movement is Brown, and the movement runs opposite to the worry: including more small registers (N \ge 20) raises Brown’s \eta^2 from 0.202 to 0.594. The locked N \ge 30 threshold is conservative for Brown, not permissive."/>
      </w:tblPr>
      <w:tblGrid>
        <w:gridCol w:w="1131"/>
        <w:gridCol w:w="1131"/>
        <w:gridCol w:w="1131"/>
        <w:gridCol w:w="1131"/>
        <w:gridCol w:w="1131"/>
        <w:gridCol w:w="1131"/>
        <w:gridCol w:w="1131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t xml:space="preserve">Corpus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Threshold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Buckets</w:t>
            </w:r>
          </w:p>
        </w:tc>
        <w:tc>
          <w:tcPr/>
          <w:p>
            <w:pPr>
              <w:pStyle w:val="Compact"/>
              <w:jc w:val="right"/>
            </w:pPr>
            <m:oMath>
              <m:sSub>
                <m:e>
                  <m:r>
                    <m:t>N</m:t>
                  </m:r>
                </m:e>
                <m:sub>
                  <m:r>
                    <m:rPr>
                      <m:nor/>
                      <m:sty m:val="p"/>
                    </m:rPr>
                    <m:t>text</m:t>
                  </m:r>
                </m:sub>
              </m:sSub>
            </m:oMath>
          </w:p>
        </w:tc>
        <w:tc>
          <w:tcPr/>
          <w:p>
            <w:pPr>
              <w:pStyle w:val="Compact"/>
              <w:jc w:val="right"/>
            </w:pPr>
            <m:oMath>
              <m:sSup>
                <m:e>
                  <m:r>
                    <m:t>η</m:t>
                  </m:r>
                </m:e>
                <m:sup>
                  <m:r>
                    <m:t>2</m:t>
                  </m:r>
                </m:sup>
              </m:sSup>
            </m:oMath>
          </w:p>
        </w:tc>
        <w:tc>
          <w:tcPr/>
          <w:p>
            <w:pPr>
              <w:pStyle w:val="Compact"/>
              <w:jc w:val="right"/>
            </w:pPr>
            <w:r>
              <w:t xml:space="preserve">95% CI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T1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NLTK_multi</w:t>
            </w:r>
          </w:p>
        </w:tc>
        <w:tc>
          <w:tcPr/>
          <w:p>
            <w:pPr>
              <w:pStyle w:val="Compact"/>
              <w:jc w:val="right"/>
            </w:pPr>
            <m:oMath>
              <m:r>
                <m:rPr>
                  <m:sty m:val="p"/>
                </m:rPr>
                <m:t>≥</m:t>
              </m:r>
              <m:r>
                <m:t>20</m:t>
              </m:r>
            </m:oMath>
          </w:p>
        </w:tc>
        <w:tc>
          <w:tcPr/>
          <w:p>
            <w:pPr>
              <w:pStyle w:val="Compact"/>
              <w:jc w:val="righ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135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0.616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[0.53, 0.70]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pass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NLTK_multi</w:t>
            </w:r>
          </w:p>
        </w:tc>
        <w:tc>
          <w:tcPr/>
          <w:p>
            <w:pPr>
              <w:pStyle w:val="Compact"/>
              <w:jc w:val="right"/>
            </w:pPr>
            <m:oMath>
              <m:r>
                <m:rPr>
                  <m:sty m:val="p"/>
                </m:rPr>
                <m:t>≥</m:t>
              </m:r>
              <m:r>
                <m:t>30</m:t>
              </m:r>
            </m:oMath>
          </w:p>
        </w:tc>
        <w:tc>
          <w:tcPr/>
          <w:p>
            <w:pPr>
              <w:pStyle w:val="Compact"/>
              <w:jc w:val="righ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135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0.616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[0.53, 0.70]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pass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NLTK_multi</w:t>
            </w:r>
          </w:p>
        </w:tc>
        <w:tc>
          <w:tcPr/>
          <w:p>
            <w:pPr>
              <w:pStyle w:val="Compact"/>
              <w:jc w:val="right"/>
            </w:pPr>
            <m:oMath>
              <m:r>
                <m:rPr>
                  <m:sty m:val="p"/>
                </m:rPr>
                <m:t>≥</m:t>
              </m:r>
              <m:r>
                <m:t>50</m:t>
              </m:r>
            </m:oMath>
          </w:p>
        </w:tc>
        <w:tc>
          <w:tcPr/>
          <w:p>
            <w:pPr>
              <w:pStyle w:val="Compact"/>
              <w:jc w:val="righ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57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–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–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n/a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SPGC</w:t>
            </w:r>
          </w:p>
        </w:tc>
        <w:tc>
          <w:tcPr/>
          <w:p>
            <w:pPr>
              <w:pStyle w:val="Compact"/>
              <w:jc w:val="right"/>
            </w:pPr>
            <m:oMath>
              <m:r>
                <m:rPr>
                  <m:sty m:val="p"/>
                </m:rPr>
                <m:t>≥</m:t>
              </m:r>
              <m:r>
                <m:t>20</m:t>
              </m:r>
            </m:oMath>
          </w:p>
        </w:tc>
        <w:tc>
          <w:tcPr/>
          <w:p>
            <w:pPr>
              <w:pStyle w:val="Compact"/>
              <w:jc w:val="right"/>
            </w:pPr>
            <w:r>
              <w:t xml:space="preserve">12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</w:t>
            </w:r>
            <w:r>
              <w:t xml:space="preserve">,</w:t>
            </w:r>
            <w:r>
              <w:t xml:space="preserve">767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0.365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[0.34, 0.40]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pass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SPGC</w:t>
            </w:r>
          </w:p>
        </w:tc>
        <w:tc>
          <w:tcPr/>
          <w:p>
            <w:pPr>
              <w:pStyle w:val="Compact"/>
              <w:jc w:val="right"/>
            </w:pPr>
            <m:oMath>
              <m:r>
                <m:rPr>
                  <m:sty m:val="p"/>
                </m:rPr>
                <m:t>≥</m:t>
              </m:r>
              <m:r>
                <m:t>30</m:t>
              </m:r>
            </m:oMath>
          </w:p>
        </w:tc>
        <w:tc>
          <w:tcPr/>
          <w:p>
            <w:pPr>
              <w:pStyle w:val="Compact"/>
              <w:jc w:val="right"/>
            </w:pPr>
            <w:r>
              <w:t xml:space="preserve">12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</w:t>
            </w:r>
            <w:r>
              <w:t xml:space="preserve">,</w:t>
            </w:r>
            <w:r>
              <w:t xml:space="preserve">767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0.365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[0.34, 0.40]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pass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SPGC</w:t>
            </w:r>
          </w:p>
        </w:tc>
        <w:tc>
          <w:tcPr/>
          <w:p>
            <w:pPr>
              <w:pStyle w:val="Compact"/>
              <w:jc w:val="right"/>
            </w:pPr>
            <m:oMath>
              <m:r>
                <m:rPr>
                  <m:sty m:val="p"/>
                </m:rPr>
                <m:t>≥</m:t>
              </m:r>
              <m:r>
                <m:t>50</m:t>
              </m:r>
            </m:oMath>
          </w:p>
        </w:tc>
        <w:tc>
          <w:tcPr/>
          <w:p>
            <w:pPr>
              <w:pStyle w:val="Compact"/>
              <w:jc w:val="right"/>
            </w:pPr>
            <w:r>
              <w:t xml:space="preserve">12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</w:t>
            </w:r>
            <w:r>
              <w:t xml:space="preserve">,</w:t>
            </w:r>
            <w:r>
              <w:t xml:space="preserve">767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0.365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[0.34, 0.40]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pass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Brown</w:t>
            </w:r>
          </w:p>
        </w:tc>
        <w:tc>
          <w:tcPr/>
          <w:p>
            <w:pPr>
              <w:pStyle w:val="Compact"/>
              <w:jc w:val="right"/>
            </w:pPr>
            <m:oMath>
              <m:r>
                <m:rPr>
                  <m:sty m:val="p"/>
                </m:rPr>
                <m:t>≥</m:t>
              </m:r>
              <m:r>
                <m:t>20</m:t>
              </m:r>
            </m:oMath>
          </w:p>
        </w:tc>
        <w:tc>
          <w:tcPr/>
          <w:p>
            <w:pPr>
              <w:pStyle w:val="Compact"/>
              <w:jc w:val="right"/>
            </w:pPr>
            <w:r>
              <w:t xml:space="preserve">11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451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b/>
                <w:bCs/>
              </w:rPr>
              <w:t xml:space="preserve">0.594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[0.55, 0.65]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pass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Brown</w:t>
            </w:r>
          </w:p>
        </w:tc>
        <w:tc>
          <w:tcPr/>
          <w:p>
            <w:pPr>
              <w:pStyle w:val="Compact"/>
              <w:jc w:val="right"/>
            </w:pPr>
            <m:oMath>
              <m:r>
                <m:rPr>
                  <m:sty m:val="p"/>
                </m:rPr>
                <m:t>≥</m:t>
              </m:r>
              <m:r>
                <m:t>30</m:t>
              </m:r>
            </m:oMath>
          </w:p>
        </w:tc>
        <w:tc>
          <w:tcPr/>
          <w:p>
            <w:pPr>
              <w:pStyle w:val="Compact"/>
              <w:jc w:val="right"/>
            </w:pPr>
            <w:r>
              <w:t xml:space="preserve">6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313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0.202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[0.14, 0.29]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pass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Brown</w:t>
            </w:r>
          </w:p>
        </w:tc>
        <w:tc>
          <w:tcPr/>
          <w:p>
            <w:pPr>
              <w:pStyle w:val="Compact"/>
              <w:jc w:val="right"/>
            </w:pPr>
            <m:oMath>
              <m:r>
                <m:rPr>
                  <m:sty m:val="p"/>
                </m:rPr>
                <m:t>≥</m:t>
              </m:r>
              <m:r>
                <m:t>50</m:t>
              </m:r>
            </m:oMath>
          </w:p>
        </w:tc>
        <w:tc>
          <w:tcPr/>
          <w:p>
            <w:pPr>
              <w:pStyle w:val="Compact"/>
              <w:jc w:val="righ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155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0.151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[0.06, 0.25]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pass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OANC</w:t>
            </w:r>
          </w:p>
        </w:tc>
        <w:tc>
          <w:tcPr/>
          <w:p>
            <w:pPr>
              <w:pStyle w:val="Compact"/>
              <w:jc w:val="right"/>
            </w:pPr>
            <m:oMath>
              <m:r>
                <m:rPr>
                  <m:sty m:val="p"/>
                </m:rPr>
                <m:t>≥</m:t>
              </m:r>
              <m:r>
                <m:t>20</m:t>
              </m:r>
            </m:oMath>
          </w:p>
        </w:tc>
        <w:tc>
          <w:tcPr/>
          <w:p>
            <w:pPr>
              <w:pStyle w:val="Compact"/>
              <w:jc w:val="right"/>
            </w:pPr>
            <w:r>
              <w:t xml:space="preserve">6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</w:t>
            </w:r>
            <w:r>
              <w:t xml:space="preserve">,</w:t>
            </w:r>
            <w:r>
              <w:t xml:space="preserve">375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0.847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[0.84, 0.85]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pass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OANC</w:t>
            </w:r>
          </w:p>
        </w:tc>
        <w:tc>
          <w:tcPr/>
          <w:p>
            <w:pPr>
              <w:pStyle w:val="Compact"/>
              <w:jc w:val="right"/>
            </w:pPr>
            <m:oMath>
              <m:r>
                <m:rPr>
                  <m:sty m:val="p"/>
                </m:rPr>
                <m:t>≥</m:t>
              </m:r>
              <m:r>
                <m:t>30</m:t>
              </m:r>
            </m:oMath>
          </w:p>
        </w:tc>
        <w:tc>
          <w:tcPr/>
          <w:p>
            <w:pPr>
              <w:pStyle w:val="Compact"/>
              <w:jc w:val="right"/>
            </w:pPr>
            <w:r>
              <w:t xml:space="preserve">6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</w:t>
            </w:r>
            <w:r>
              <w:t xml:space="preserve">,</w:t>
            </w:r>
            <w:r>
              <w:t xml:space="preserve">375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0.847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[0.84, 0.85]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pass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OANC</w:t>
            </w:r>
          </w:p>
        </w:tc>
        <w:tc>
          <w:tcPr/>
          <w:p>
            <w:pPr>
              <w:pStyle w:val="Compact"/>
              <w:jc w:val="right"/>
            </w:pPr>
            <m:oMath>
              <m:r>
                <m:rPr>
                  <m:sty m:val="p"/>
                </m:rPr>
                <m:t>≥</m:t>
              </m:r>
              <m:r>
                <m:t>50</m:t>
              </m:r>
            </m:oMath>
          </w:p>
        </w:tc>
        <w:tc>
          <w:tcPr/>
          <w:p>
            <w:pPr>
              <w:pStyle w:val="Compact"/>
              <w:jc w:val="righ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</w:t>
            </w:r>
            <w:r>
              <w:t xml:space="preserve">,</w:t>
            </w:r>
            <w:r>
              <w:t xml:space="preserve">332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0.846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[0.84, 0.85]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pass</w:t>
            </w:r>
          </w:p>
        </w:tc>
      </w:tr>
    </w:tbl>
    <w:bookmarkEnd w:id="52"/>
    <w:bookmarkEnd w:id="53"/>
    <w:bookmarkStart w:id="54" w:name="marginalconditional-entropy-divergence"/>
    <w:p>
      <w:pPr>
        <w:pStyle w:val="Heading2"/>
      </w:pPr>
      <w:r>
        <w:t xml:space="preserve">Marginal–conditional entropy divergence</w:t>
      </w:r>
    </w:p>
    <w:p>
      <w:pPr>
        <w:pStyle w:val="FirstParagraph"/>
      </w:pPr>
      <w:r>
        <w:t xml:space="preserve">T3 tests the absolute correlation between schwa density and conditional</w:t>
      </w:r>
      <w:r>
        <w:t xml:space="preserve"> </w:t>
      </w:r>
      <w:r>
        <w:t xml:space="preserve">vowel entropy. The substantive interpretation depends on whether</w:t>
      </w:r>
      <w:r>
        <w:t xml:space="preserve"> </w:t>
      </w:r>
      <w:r>
        <w:t xml:space="preserve">conditional entropy carries information beyond marginal entropy. We</w:t>
      </w:r>
      <w:r>
        <w:t xml:space="preserve"> </w:t>
      </w:r>
      <w:r>
        <w:t xml:space="preserve">report</w:t>
      </w:r>
      <w:r>
        <w:t xml:space="preserve"> </w:t>
      </w:r>
      <m:oMath>
        <m:r>
          <m:rPr>
            <m:sty m:val="p"/>
          </m:rPr>
          <m:t>|</m:t>
        </m:r>
        <m:r>
          <m:t>r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schwa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cond</m:t>
            </m:r>
            <m:r>
              <m:t> </m:t>
            </m:r>
            <m:r>
              <m:t>H</m:t>
            </m:r>
          </m:e>
        </m:d>
        <m:r>
          <m:rPr>
            <m:sty m:val="p"/>
          </m:rPr>
          <m:t>−</m:t>
        </m:r>
        <m:r>
          <m:t>r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schwa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marg</m:t>
            </m:r>
            <m:r>
              <m:t> </m:t>
            </m:r>
            <m:r>
              <m:t>H</m:t>
            </m:r>
          </m:e>
        </m:d>
        <m:r>
          <m:rPr>
            <m:sty m:val="p"/>
          </m:rPr>
          <m:t>|</m:t>
        </m:r>
      </m:oMath>
      <w:r>
        <w:t xml:space="preserve"> </w:t>
      </w:r>
      <w:r>
        <w:t xml:space="preserve">on each corpus: Brown 0.004, SPGC 0.012, OANC</w:t>
      </w:r>
      <w:r>
        <w:t xml:space="preserve"> </w:t>
      </w:r>
      <w:r>
        <w:t xml:space="preserve">0.046, NLTK_multi 0.154. On three of four corpora the divergence is</w:t>
      </w:r>
      <w:r>
        <w:t xml:space="preserve"> </w:t>
      </w:r>
      <w:r>
        <w:t xml:space="preserve">within noise of the structural-dominance prediction (Shannon entropy</w:t>
      </w:r>
      <w:r>
        <w:t xml:space="preserve"> </w:t>
      </w:r>
      <w:r>
        <w:t xml:space="preserve">mechanically drops as one category dominates a distribution); on</w:t>
      </w:r>
      <w:r>
        <w:t xml:space="preserve"> </w:t>
      </w:r>
      <w:r>
        <w:t xml:space="preserve">NLTK_multi the divergence is non-trivial, consistent with</w:t>
      </w:r>
      <w:r>
        <w:t xml:space="preserve"> </w:t>
      </w:r>
      <w:r>
        <w:t xml:space="preserve">register-dependent transition structure beyond unigram frequency in</w:t>
      </w:r>
      <w:r>
        <w:t xml:space="preserve"> </w:t>
      </w:r>
      <w:r>
        <w:t xml:space="preserve">the news/oratorical/reviews mix. We do not draw strong conclusions</w:t>
      </w:r>
      <w:r>
        <w:t xml:space="preserve"> </w:t>
      </w:r>
      <w:r>
        <w:t xml:space="preserve">from this and treat T3 throughout as a pipeline-consistency check.</w:t>
      </w:r>
    </w:p>
    <w:bookmarkEnd w:id="54"/>
    <w:bookmarkEnd w:id="55"/>
    <w:bookmarkStart w:id="59" w:name="discussion"/>
    <w:p>
      <w:pPr>
        <w:pStyle w:val="Heading1"/>
      </w:pPr>
      <w:r>
        <w:t xml:space="preserve">Discussion</w:t>
      </w:r>
    </w:p>
    <w:bookmarkStart w:id="56" w:name="sec:regimes"/>
    <w:p>
      <w:pPr>
        <w:pStyle w:val="Heading2"/>
      </w:pPr>
      <w:r>
        <w:t xml:space="preserve">Two regimes: Primary Stylistic and Secondary Modality</w:t>
      </w:r>
    </w:p>
    <w:p>
      <w:pPr>
        <w:pStyle w:val="FirstParagraph"/>
      </w:pPr>
      <w:r>
        <w:t xml:space="preserve">The four-corpus comparison surfaces two empirically distinguishable</w:t>
      </w:r>
      <w:r>
        <w:t xml:space="preserve"> </w:t>
      </w:r>
      <w:r>
        <w:t xml:space="preserve">regimes. The function-word ablation in §</w:t>
      </w:r>
      <w:hyperlink w:anchor="sec:ablation">
        <w:r>
          <w:rPr>
            <w:rStyle w:val="Hyperlink"/>
          </w:rPr>
          <w:t xml:space="preserve">3.3</w:t>
        </w:r>
      </w:hyperlink>
      <w:r>
        <w:t xml:space="preserve"> </w:t>
      </w:r>
      <w:r>
        <w:t xml:space="preserve">and the</w:t>
      </w:r>
      <w:r>
        <w:t xml:space="preserve"> </w:t>
      </w:r>
      <w:r>
        <w:t xml:space="preserve">joint partial-</w:t>
      </w:r>
      <m:oMath>
        <m:sSup>
          <m:e>
            <m:r>
              <m:t>η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in Table </w:t>
      </w:r>
      <w:hyperlink w:anchor="tab:partial">
        <w:r>
          <w:rPr>
            <w:rStyle w:val="Hyperlink"/>
          </w:rPr>
          <w:t xml:space="preserve">3</w:t>
        </w:r>
      </w:hyperlink>
      <w:r>
        <w:t xml:space="preserve"> </w:t>
      </w:r>
      <w:r>
        <w:t xml:space="preserve">operationalise the</w:t>
      </w:r>
      <w:r>
        <w:t xml:space="preserve"> </w:t>
      </w:r>
      <w:r>
        <w:t xml:space="preserve">distinction.</w:t>
      </w:r>
    </w:p>
    <w:p>
      <w:pPr>
        <w:pStyle w:val="BodyText"/>
      </w:pPr>
      <w:r>
        <w:rPr>
          <w:b/>
          <w:bCs/>
        </w:rPr>
        <w:t xml:space="preserve">Primary Stylistic Feature</w:t>
      </w:r>
      <w:r>
        <w:t xml:space="preserve"> </w:t>
      </w:r>
      <w:r>
        <w:t xml:space="preserve">(NLTK_multi, SPGC, Brown).</w:t>
      </w:r>
      <w:r>
        <w:t xml:space="preserve"> </w:t>
      </w:r>
      <w:r>
        <w:t xml:space="preserve">Register variation is driven by within-prose stylistic differences</w:t>
      </w:r>
      <w:r>
        <w:t xml:space="preserve"> </w:t>
      </w:r>
      <w:r>
        <w:t xml:space="preserve">(rhetorical type for NLTK; literary genre for SPGC; informative-prose</w:t>
      </w:r>
      <w:r>
        <w:t xml:space="preserve"> </w:t>
      </w:r>
      <w:r>
        <w:t xml:space="preserve">subcategories for Brown) where syllable count and schwa density carry</w:t>
      </w:r>
      <w:r>
        <w:t xml:space="preserve"> </w:t>
      </w:r>
      <w:r>
        <w:t xml:space="preserve">different aspects of register. Latinate-versus-Germanic stress patterns</w:t>
      </w:r>
      <w:r>
        <w:t xml:space="preserve"> </w:t>
      </w:r>
      <w:r>
        <w:t xml:space="preserve">produce more or fewer unstressed syllables per word at fixed syllable</w:t>
      </w:r>
      <w:r>
        <w:t xml:space="preserve"> </w:t>
      </w:r>
      <w:r>
        <w:t xml:space="preserve">count, and schwa picks up that signal directly. Three empirical</w:t>
      </w:r>
      <w:r>
        <w:t xml:space="preserve"> </w:t>
      </w:r>
      <w:r>
        <w:t xml:space="preserve">signatures identify this regime: (i) function-word-ablation retention</w:t>
      </w:r>
      <w:r>
        <w:t xml:space="preserve"> </w:t>
      </w:r>
      <w:r>
        <w:t xml:space="preserve">above unity (NLTK 1.27, SPGC 1.19, Brown 1.24), indicating that</w:t>
      </w:r>
      <w:r>
        <w:t xml:space="preserve"> </w:t>
      </w:r>
      <w:r>
        <w:t xml:space="preserve">stopwords are a common-mean noise floor rather than the signal source;</w:t>
      </w:r>
      <w:r>
        <w:t xml:space="preserve"> </w:t>
      </w:r>
      <w:r>
        <w:t xml:space="preserve">(ii) mean-register-spread amplification under masking, confirming that</w:t>
      </w:r>
      <w:r>
        <w:t xml:space="preserve"> </w:t>
      </w:r>
      <w:r>
        <w:t xml:space="preserve">register means separate when function-word noise is removed; and</w:t>
      </w:r>
      <w:r>
        <w:t xml:space="preserve"> </w:t>
      </w:r>
      <w:r>
        <w:t xml:space="preserve">(iii) non-trivial joint partial-</w:t>
      </w:r>
      <m:oMath>
        <m:sSup>
          <m:e>
            <m:r>
              <m:t>η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retention after controlling</w:t>
      </w:r>
      <w:r>
        <w:t xml:space="preserve"> </w:t>
      </w:r>
      <w:r>
        <w:t xml:space="preserve">for syllables, word length, and Latinate ratio (46–53% on the two</w:t>
      </w:r>
      <w:r>
        <w:t xml:space="preserve"> </w:t>
      </w:r>
      <w:r>
        <w:t xml:space="preserve">pre-registered corpora). In this regime, schwa’s phonological</w:t>
      </w:r>
      <w:r>
        <w:t xml:space="preserve"> </w:t>
      </w:r>
      <w:r>
        <w:t xml:space="preserve">grounding gives it the edge over surface-lexical comparators.</w:t>
      </w:r>
    </w:p>
    <w:p>
      <w:pPr>
        <w:pStyle w:val="BodyText"/>
      </w:pPr>
      <w:r>
        <w:rPr>
          <w:b/>
          <w:bCs/>
        </w:rPr>
        <w:t xml:space="preserve">Secondary Modality Feature</w:t>
      </w:r>
      <w:r>
        <w:t xml:space="preserve"> </w:t>
      </w:r>
      <w:r>
        <w:t xml:space="preserve">(OANC). Register variation is</w:t>
      </w:r>
      <w:r>
        <w:t xml:space="preserve"> </w:t>
      </w:r>
      <w:r>
        <w:t xml:space="preserve">driven primarily by modality (speech versus technical writing), an</w:t>
      </w:r>
      <w:r>
        <w:t xml:space="preserve"> </w:t>
      </w:r>
      <w:r>
        <w:t xml:space="preserve">axis on which function-word frequency itself varies systematically</w:t>
      </w:r>
      <w:r>
        <w:t xml:space="preserve"> </w:t>
      </w:r>
      <w:r>
        <w:t xml:space="preserve">(conversational speech is function-word-dense; technical prose is</w:t>
      </w:r>
      <w:r>
        <w:t xml:space="preserve"> </w:t>
      </w:r>
      <w:r>
        <w:t xml:space="preserve">content-word-dense). Schwa density still discriminates register at</w:t>
      </w:r>
      <w:r>
        <w:t xml:space="preserve"> </w:t>
      </w:r>
      <w:r>
        <w:t xml:space="preserve">high</w:t>
      </w:r>
      <w:r>
        <w:t xml:space="preserve"> </w:t>
      </w:r>
      <m:oMath>
        <m:sSup>
          <m:e>
            <m:r>
              <m:t>η</m:t>
            </m:r>
          </m:e>
          <m:sup>
            <m:r>
              <m:t>2</m:t>
            </m:r>
          </m:sup>
        </m:sSup>
      </m:oMath>
      <w:r>
        <w:t xml:space="preserve">, but part of the signal is shared with the</w:t>
      </w:r>
      <w:r>
        <w:t xml:space="preserve"> </w:t>
      </w:r>
      <w:r>
        <w:t xml:space="preserve">function-word-ratio covariate. Empirical signature: function-word-</w:t>
      </w:r>
      <w:r>
        <w:t xml:space="preserve"> </w:t>
      </w:r>
      <w:r>
        <w:t xml:space="preserve">ablation retention at or below unity (OANC 0.93) with increased</w:t>
      </w:r>
      <w:r>
        <w:t xml:space="preserve"> </w:t>
      </w:r>
      <w:r>
        <w:t xml:space="preserve">absolute spread; joint partial-</w:t>
      </w:r>
      <m:oMath>
        <m:sSup>
          <m:e>
            <m:r>
              <m:t>η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retention of only 13%. In</w:t>
      </w:r>
      <w:r>
        <w:t xml:space="preserve"> </w:t>
      </w:r>
      <w:r>
        <w:t xml:space="preserve">this regime, mean syllables per word does most of the same work, and</w:t>
      </w:r>
      <w:r>
        <w:t xml:space="preserve"> </w:t>
      </w:r>
      <w:r>
        <w:t xml:space="preserve">schwa is usefully construed as a companion measure rather than a</w:t>
      </w:r>
      <w:r>
        <w:t xml:space="preserve"> </w:t>
      </w:r>
      <w:r>
        <w:t xml:space="preserve">stand-alone phonological predictor.</w:t>
      </w:r>
    </w:p>
    <w:p>
      <w:pPr>
        <w:pStyle w:val="BodyText"/>
      </w:pPr>
      <w:r>
        <w:t xml:space="preserve">The honest scope of the publishable claim is therefore two-part:</w:t>
      </w:r>
      <w:r>
        <w:t xml:space="preserve"> </w:t>
      </w:r>
      <w:r>
        <w:t xml:space="preserve">schwa density is a</w:t>
      </w:r>
      <w:r>
        <w:t xml:space="preserve"> </w:t>
      </w:r>
      <w:r>
        <w:rPr>
          <w:i/>
          <w:iCs/>
        </w:rPr>
        <w:t xml:space="preserve">Primary Stylistic Feature</w:t>
      </w:r>
      <w:r>
        <w:t xml:space="preserve"> </w:t>
      </w:r>
      <w:r>
        <w:t xml:space="preserve">for within-prose</w:t>
      </w:r>
      <w:r>
        <w:t xml:space="preserve"> </w:t>
      </w:r>
      <w:r>
        <w:t xml:space="preserve">stylistic discrimination, and a</w:t>
      </w:r>
      <w:r>
        <w:t xml:space="preserve"> </w:t>
      </w:r>
      <w:r>
        <w:rPr>
          <w:i/>
          <w:iCs/>
        </w:rPr>
        <w:t xml:space="preserve">Secondary Modality Feature</w:t>
      </w:r>
      <w:r>
        <w:t xml:space="preserve"> </w:t>
      </w:r>
      <w:r>
        <w:t xml:space="preserve">for</w:t>
      </w:r>
      <w:r>
        <w:t xml:space="preserve"> </w:t>
      </w:r>
      <w:r>
        <w:t xml:space="preserve">cross-modality discrimination. These are not competing hypotheses; they</w:t>
      </w:r>
      <w:r>
        <w:t xml:space="preserve"> </w:t>
      </w:r>
      <w:r>
        <w:t xml:space="preserve">are distinct operating regimes that the four-corpus design surfaces</w:t>
      </w:r>
      <w:r>
        <w:t xml:space="preserve"> </w:t>
      </w:r>
      <w:r>
        <w:t xml:space="preserve">and that the ablation analysis identifies in a principled way.</w:t>
      </w:r>
    </w:p>
    <w:bookmarkEnd w:id="56"/>
    <w:bookmarkStart w:id="57" w:name="when-does-schwa-beat-fleschkincaid"/>
    <w:p>
      <w:pPr>
        <w:pStyle w:val="Heading2"/>
      </w:pPr>
      <w:r>
        <w:t xml:space="preserve">When does schwa beat Flesch–Kincaid?</w:t>
      </w:r>
    </w:p>
    <w:p>
      <w:pPr>
        <w:pStyle w:val="FirstParagraph"/>
      </w:pPr>
      <w:r>
        <w:t xml:space="preserve">The cross-corpus pattern in Table </w:t>
      </w:r>
      <w:hyperlink w:anchor="tab:tests">
        <w:r>
          <w:rPr>
            <w:rStyle w:val="Hyperlink"/>
          </w:rPr>
          <w:t xml:space="preserve">1</w:t>
        </w:r>
      </w:hyperlink>
      <w:r>
        <w:t xml:space="preserve"> </w:t>
      </w:r>
      <w:r>
        <w:t xml:space="preserve">is interpretable:</w:t>
      </w:r>
    </w:p>
    <w:p>
      <w:pPr>
        <w:numPr>
          <w:ilvl w:val="0"/>
          <w:numId w:val="1001"/>
        </w:numPr>
      </w:pPr>
      <w:r>
        <w:rPr>
          <w:b/>
          <w:bCs/>
        </w:rPr>
        <w:t xml:space="preserve">Tied</w:t>
      </w:r>
      <w:r>
        <w:t xml:space="preserve"> </w:t>
      </w:r>
      <w:r>
        <w:t xml:space="preserve">(Brown, SPGC): both measures discriminate at</w:t>
      </w:r>
      <w:r>
        <w:t xml:space="preserve"> </w:t>
      </w:r>
      <w:r>
        <w:t xml:space="preserve">similar effect sizes. SPGC’s tie is partly an artefact of broken</w:t>
      </w:r>
      <w:r>
        <w:t xml:space="preserve"> </w:t>
      </w:r>
      <w:r>
        <w:t xml:space="preserve">sentence boundaries (FK on SPGC reduces to a linear transform of mean</w:t>
      </w:r>
      <w:r>
        <w:t xml:space="preserve"> </w:t>
      </w:r>
      <w:r>
        <w:t xml:space="preserve">syllables per word, since</w:t>
      </w:r>
      <w:r>
        <w:t xml:space="preserve"> </w:t>
      </w:r>
      <m:oMath>
        <m:bar>
          <m:barPr>
            <m:pos m:val="top"/>
          </m:barPr>
          <m:e>
            <m:sSub>
              <m:e>
                <m:r>
                  <m:rPr>
                    <m:sty m:val="p"/>
                  </m:rPr>
                  <m:t>ℓ</m:t>
                </m:r>
              </m:e>
              <m:sub>
                <m:r>
                  <m:t>s</m:t>
                </m:r>
              </m:sub>
            </m:sSub>
          </m:e>
        </m:bar>
      </m:oMath>
      <w:r>
        <w:t xml:space="preserve"> </w:t>
      </w:r>
      <w:r>
        <w:t xml:space="preserve">is a constant).</w:t>
      </w:r>
    </w:p>
    <w:p>
      <w:pPr>
        <w:numPr>
          <w:ilvl w:val="0"/>
          <w:numId w:val="1001"/>
        </w:numPr>
      </w:pPr>
      <w:r>
        <w:rPr>
          <w:b/>
          <w:bCs/>
        </w:rPr>
        <w:t xml:space="preserve">Schwa wins</w:t>
      </w:r>
      <w:r>
        <w:t xml:space="preserve"> </w:t>
      </w:r>
      <w:r>
        <w:t xml:space="preserve">(NLTK_multi, gap</w:t>
      </w:r>
      <w:r>
        <w:t xml:space="preserve"> </w:t>
      </w:r>
      <m:oMath>
        <m:r>
          <m:rPr>
            <m:sty m:val="p"/>
          </m:rPr>
          <m:t>+</m:t>
        </m:r>
        <m:r>
          <m:t>0.43</m:t>
        </m:r>
      </m:oMath>
      <w:r>
        <w:t xml:space="preserve">): FK’s</w:t>
      </w:r>
      <w:r>
        <w:t xml:space="preserve"> </w:t>
      </w:r>
      <w:r>
        <w:t xml:space="preserve">sentence-length term does not discriminate news, oratorical, and</w:t>
      </w:r>
      <w:r>
        <w:t xml:space="preserve"> </w:t>
      </w:r>
      <w:r>
        <w:t xml:space="preserve">review writing well, so FK is essentially syllables per word. Schwa</w:t>
      </w:r>
      <w:r>
        <w:t xml:space="preserve"> </w:t>
      </w:r>
      <w:r>
        <w:t xml:space="preserve">captures stress-pattern information beyond syllable count and</w:t>
      </w:r>
      <w:r>
        <w:t xml:space="preserve"> </w:t>
      </w:r>
      <w:r>
        <w:t xml:space="preserve">out-discriminates the surface-lexical comparator.</w:t>
      </w:r>
    </w:p>
    <w:p>
      <w:pPr>
        <w:numPr>
          <w:ilvl w:val="0"/>
          <w:numId w:val="1001"/>
        </w:numPr>
      </w:pPr>
      <w:r>
        <w:rPr>
          <w:b/>
          <w:bCs/>
        </w:rPr>
        <w:t xml:space="preserve">FK wins</w:t>
      </w:r>
      <w:r>
        <w:t xml:space="preserve"> </w:t>
      </w:r>
      <w:r>
        <w:t xml:space="preserve">(OANC, gap</w:t>
      </w:r>
      <w:r>
        <w:t xml:space="preserve"> </w:t>
      </w:r>
      <m:oMath>
        <m:r>
          <m:rPr>
            <m:sty m:val="p"/>
          </m:rPr>
          <m:t>−</m:t>
        </m:r>
        <m:r>
          <m:t>0.05</m:t>
        </m:r>
      </m:oMath>
      <w:r>
        <w:t xml:space="preserve">): when register variation</w:t>
      </w:r>
      <w:r>
        <w:t xml:space="preserve"> </w:t>
      </w:r>
      <w:r>
        <w:t xml:space="preserve">runs along an axis where both FK terms align (long sentences and</w:t>
      </w:r>
      <w:r>
        <w:t xml:space="preserve"> </w:t>
      </w:r>
      <w:r>
        <w:t xml:space="preserve">polysyllabic vocabulary in technical writing; short sentences and</w:t>
      </w:r>
      <w:r>
        <w:t xml:space="preserve"> </w:t>
      </w:r>
      <w:r>
        <w:t xml:space="preserve">monosyllabic vocabulary in conversation), FK’s combined signal</w:t>
      </w:r>
      <w:r>
        <w:t xml:space="preserve"> </w:t>
      </w:r>
      <w:r>
        <w:t xml:space="preserve">out-discriminates schwa, which only captures the syllable side. By</w:t>
      </w:r>
      <w:r>
        <w:t xml:space="preserve"> </w:t>
      </w:r>
      <w:r>
        <w:t xml:space="preserve">construction, schwa cannot match a measure that uses information</w:t>
      </w:r>
      <w:r>
        <w:t xml:space="preserve"> </w:t>
      </w:r>
      <w:r>
        <w:t xml:space="preserve">schwa lacks.</w:t>
      </w:r>
    </w:p>
    <w:p>
      <w:pPr>
        <w:pStyle w:val="FirstParagraph"/>
      </w:pPr>
      <w:r>
        <w:t xml:space="preserve">The practical recommendation that follows is straightforward: prefer</w:t>
      </w:r>
      <w:r>
        <w:t xml:space="preserve"> </w:t>
      </w:r>
      <w:r>
        <w:t xml:space="preserve">schwa when sentence boundaries are unreliable (token-stream corpora,</w:t>
      </w:r>
      <w:r>
        <w:t xml:space="preserve"> </w:t>
      </w:r>
      <w:r>
        <w:t xml:space="preserve">verse, dialogue-heavy fiction) or when register variation is</w:t>
      </w:r>
      <w:r>
        <w:t xml:space="preserve"> </w:t>
      </w:r>
      <w:r>
        <w:t xml:space="preserve">within-prose stylistic; prefer FK when sentence boundaries are</w:t>
      </w:r>
      <w:r>
        <w:t xml:space="preserve"> </w:t>
      </w:r>
      <w:r>
        <w:t xml:space="preserve">reliable and register variation runs across the speech/writing or</w:t>
      </w:r>
      <w:r>
        <w:t xml:space="preserve"> </w:t>
      </w:r>
      <w:r>
        <w:t xml:space="preserve">casual/technical axes.</w:t>
      </w:r>
    </w:p>
    <w:bookmarkEnd w:id="57"/>
    <w:bookmarkStart w:id="58" w:name="Xdd25c569d680eecc6d1d1d68ae007483b0b1727"/>
    <w:p>
      <w:pPr>
        <w:pStyle w:val="Heading2"/>
      </w:pPr>
      <w:r>
        <w:t xml:space="preserve">The marginal-versus-conditional entropy redundancy</w:t>
      </w:r>
    </w:p>
    <w:p>
      <w:pPr>
        <w:pStyle w:val="FirstParagraph"/>
      </w:pPr>
      <w:r>
        <w:t xml:space="preserve">The original pilot study (</w:t>
      </w:r>
      <m:oMath>
        <m:r>
          <m:t>N</m:t>
        </m:r>
        <m:r>
          <m:rPr>
            <m:sty m:val="p"/>
          </m:rPr>
          <m:t>=</m:t>
        </m:r>
        <m:r>
          <m:t>30</m:t>
        </m:r>
      </m:oMath>
      <w:r>
        <w:t xml:space="preserve">) framed the schwa–entropy</w:t>
      </w:r>
      <w:r>
        <w:t xml:space="preserve"> </w:t>
      </w:r>
      <w:r>
        <w:t xml:space="preserve">correlation as evidence that register affects vowel transition</w:t>
      </w:r>
      <w:r>
        <w:t xml:space="preserve"> </w:t>
      </w:r>
      <w:r>
        <w:t xml:space="preserve">predictability. The pre-registration explicitly rejected this framing</w:t>
      </w:r>
      <w:r>
        <w:t xml:space="preserve"> </w:t>
      </w:r>
      <w:r>
        <w:t xml:space="preserve">on the basis that marginal and conditional entropies are nearly</w:t>
      </w:r>
      <w:r>
        <w:t xml:space="preserve"> </w:t>
      </w:r>
      <w:r>
        <w:t xml:space="preserve">collinear (</w:t>
      </w:r>
      <m:oMath>
        <m:r>
          <m:t>r</m:t>
        </m:r>
        <m:r>
          <m:rPr>
            <m:sty m:val="p"/>
          </m:rPr>
          <m:t>≈</m:t>
        </m:r>
        <m:r>
          <m:t>0.99</m:t>
        </m:r>
      </m:oMath>
      <w:r>
        <w:t xml:space="preserve"> </w:t>
      </w:r>
      <w:r>
        <w:t xml:space="preserve">in prior corpora), so the entropy</w:t>
      </w:r>
      <w:r>
        <w:t xml:space="preserve"> </w:t>
      </w:r>
      <w:r>
        <w:t xml:space="preserve">correlation runs largely through unigram frequency. The four-corpus</w:t>
      </w:r>
      <w:r>
        <w:t xml:space="preserve"> </w:t>
      </w:r>
      <w:r>
        <w:t xml:space="preserve">data here support that rejection: divergence is below 0.05 on three</w:t>
      </w:r>
      <w:r>
        <w:t xml:space="preserve"> </w:t>
      </w:r>
      <w:r>
        <w:t xml:space="preserve">of four corpora, consistent with the structural-dominance prediction.</w:t>
      </w:r>
      <w:r>
        <w:t xml:space="preserve"> </w:t>
      </w:r>
      <w:r>
        <w:t xml:space="preserve">We treat T3 throughout as confirming pipeline integrity rather than</w:t>
      </w:r>
      <w:r>
        <w:t xml:space="preserve"> </w:t>
      </w:r>
      <w:r>
        <w:t xml:space="preserve">as substantive evidence about transition structure.</w:t>
      </w:r>
    </w:p>
    <w:p>
      <w:pPr>
        <w:pStyle w:val="BodyText"/>
      </w:pPr>
      <w:r>
        <w:t xml:space="preserve">The NLTK divergence of 0.154 is the only data point that does not fit</w:t>
      </w:r>
      <w:r>
        <w:t xml:space="preserve"> </w:t>
      </w:r>
      <w:r>
        <w:t xml:space="preserve">the structural-dominance story cleanly. We note it for completeness</w:t>
      </w:r>
      <w:r>
        <w:t xml:space="preserve"> </w:t>
      </w:r>
      <w:r>
        <w:t xml:space="preserve">and leave its interpretation open; we do not promote it to a</w:t>
      </w:r>
      <w:r>
        <w:t xml:space="preserve"> </w:t>
      </w:r>
      <w:r>
        <w:t xml:space="preserve">substantive claim.</w:t>
      </w:r>
    </w:p>
    <w:bookmarkEnd w:id="58"/>
    <w:bookmarkEnd w:id="59"/>
    <w:bookmarkStart w:id="65" w:name="limitations"/>
    <w:p>
      <w:pPr>
        <w:pStyle w:val="Heading1"/>
      </w:pPr>
      <w:r>
        <w:t xml:space="preserve">Limitations</w:t>
      </w:r>
    </w:p>
    <w:bookmarkStart w:id="60" w:name="english-only."/>
    <w:p>
      <w:pPr>
        <w:pStyle w:val="Heading4"/>
      </w:pPr>
      <w:r>
        <w:t xml:space="preserve">English only.</w:t>
      </w:r>
    </w:p>
    <w:p>
      <w:pPr>
        <w:pStyle w:val="FirstParagraph"/>
      </w:pPr>
      <w:r>
        <w:t xml:space="preserve">The CMUdict pipeline is English-specific and</w:t>
      </w:r>
      <w:r>
        <w:t xml:space="preserve"> </w:t>
      </w:r>
      <w:r>
        <w:t xml:space="preserve">relies on a fixed vowel inventory and stress-marking convention. The</w:t>
      </w:r>
      <w:r>
        <w:t xml:space="preserve"> </w:t>
      </w:r>
      <w:r>
        <w:t xml:space="preserve">schwa story does not generalise to languages without comparable vowel</w:t>
      </w:r>
      <w:r>
        <w:t xml:space="preserve"> </w:t>
      </w:r>
      <w:r>
        <w:t xml:space="preserve">reduction (most Romance languages) or without stress-marked phonemic</w:t>
      </w:r>
      <w:r>
        <w:t xml:space="preserve"> </w:t>
      </w:r>
      <w:r>
        <w:t xml:space="preserve">dictionaries.</w:t>
      </w:r>
    </w:p>
    <w:bookmarkEnd w:id="60"/>
    <w:bookmarkStart w:id="61" w:name="X75062776984de4cdb9c19e6abba60fb72433e43"/>
    <w:p>
      <w:pPr>
        <w:pStyle w:val="Heading4"/>
      </w:pPr>
      <w:r>
        <w:t xml:space="preserve">CMUdict OOV handling and G2P sensitivity.</w:t>
      </w:r>
    </w:p>
    <w:p>
      <w:pPr>
        <w:pStyle w:val="FirstParagraph"/>
      </w:pPr>
      <w:r>
        <w:t xml:space="preserve">Out-of-vocabulary</w:t>
      </w:r>
      <w:r>
        <w:t xml:space="preserve"> </w:t>
      </w:r>
      <w:r>
        <w:t xml:space="preserve">words are excluded from the vowel-stream count in the main analysis</w:t>
      </w:r>
      <w:r>
        <w:t xml:space="preserve"> </w:t>
      </w:r>
      <w:r>
        <w:t xml:space="preserve">rather than back-filled with grapheme-to-phoneme (G2P) conversion. This</w:t>
      </w:r>
      <w:r>
        <w:t xml:space="preserve"> </w:t>
      </w:r>
      <w:r>
        <w:t xml:space="preserve">could in principle bias technical or jargon-heavy registers (e.g.</w:t>
      </w:r>
      <w:r>
        <w:t xml:space="preserve"> </w:t>
      </w:r>
      <w:r>
        <w:t xml:space="preserve">OANC’s biomedical, government, and 911-report texts) if their OOV rate</w:t>
      </w:r>
      <w:r>
        <w:t xml:space="preserve"> </w:t>
      </w:r>
      <w:r>
        <w:t xml:space="preserve">systematically differs from prose registers. To test this, we re-ran</w:t>
      </w:r>
      <w:r>
        <w:t xml:space="preserve"> </w:t>
      </w:r>
      <w:r>
        <w:t xml:space="preserve">OANC with a G2P fallback via espeak-ng (through the</w:t>
      </w:r>
      <w:r>
        <w:t xml:space="preserve"> </w:t>
      </w:r>
      <w:r>
        <w:rPr>
          <w:rStyle w:val="VerbatimChar"/>
        </w:rPr>
        <w:t xml:space="preserve">phonemizer</w:t>
      </w:r>
      <w:r>
        <w:t xml:space="preserve"> </w:t>
      </w:r>
      <w:r>
        <w:t xml:space="preserve">library): for every alphabetic token missing from CMUdict we obtained</w:t>
      </w:r>
      <w:r>
        <w:t xml:space="preserve"> </w:t>
      </w:r>
      <w:r>
        <w:t xml:space="preserve">the espeak-ng IPA transcription and counted schwa (</w:t>
      </w:r>
      <w:r>
        <w:rPr>
          <w:rStyle w:val="VerbatimChar"/>
        </w:rPr>
        <w:t xml:space="preserve">ə</w:t>
      </w:r>
      <w:r>
        <w:t xml:space="preserve">,</w:t>
      </w:r>
      <w:r>
        <w:t xml:space="preserve"> </w:t>
      </w:r>
      <w:r>
        <w:rPr>
          <w:rStyle w:val="VerbatimChar"/>
        </w:rPr>
        <w:t xml:space="preserve">ɚ</w:t>
      </w:r>
      <w:r>
        <w:t xml:space="preserve">) and total vowel phones from the IPA output. The fallback</w:t>
      </w:r>
      <w:r>
        <w:t xml:space="preserve"> </w:t>
      </w:r>
      <w:r>
        <w:t xml:space="preserve">filled 68% of previously-excluded OOV tokens across the corpus (mean</w:t>
      </w:r>
      <w:r>
        <w:t xml:space="preserve"> </w:t>
      </w:r>
      <m:oMath>
        <m:r>
          <m:rPr>
            <m:sty m:val="p"/>
          </m:rPr>
          <m:t>≈</m:t>
        </m:r>
      </m:oMath>
      <w:r>
        <w:t xml:space="preserve">78 previously-dropped tokens per text). T1</w:t>
      </w:r>
      <w:r>
        <w:t xml:space="preserve"> </w:t>
      </w:r>
      <m:oMath>
        <m:sSup>
          <m:e>
            <m:r>
              <m:t>η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on OANC</w:t>
      </w:r>
      <w:r>
        <w:t xml:space="preserve"> </w:t>
      </w:r>
      <w:r>
        <w:t xml:space="preserve">moved from</w:t>
      </w:r>
      <w:r>
        <w:t xml:space="preserve"> </w:t>
      </w:r>
      <m:oMath>
        <m:r>
          <m:t>0.847</m:t>
        </m:r>
      </m:oMath>
      <w:r>
        <w:t xml:space="preserve"> </w:t>
      </w:r>
      <w:r>
        <w:t xml:space="preserve">(OOV excluded) to</w:t>
      </w:r>
      <w:r>
        <w:t xml:space="preserve"> </w:t>
      </w:r>
      <m:oMath>
        <m:r>
          <m:t>0.810</m:t>
        </m:r>
      </m:oMath>
      <w:r>
        <w:t xml:space="preserve"> </w:t>
      </w:r>
      <w:r>
        <w:t xml:space="preserve">(G2P fallback) —</w:t>
      </w:r>
      <w:r>
        <w:t xml:space="preserve"> </w:t>
      </w:r>
      <w:r>
        <w:t xml:space="preserve">a retention of</w:t>
      </w:r>
      <w:r>
        <w:t xml:space="preserve"> </w:t>
      </w:r>
      <m:oMath>
        <m:r>
          <m:t>0.96</m:t>
        </m:r>
      </m:oMath>
      <w:r>
        <w:t xml:space="preserve">. The per-register ordering is preserved and</w:t>
      </w:r>
      <w:r>
        <w:t xml:space="preserve"> </w:t>
      </w:r>
      <w:r>
        <w:t xml:space="preserve">all registers remain above the T1 crud floor, so the OOV exclusion</w:t>
      </w:r>
      <w:r>
        <w:t xml:space="preserve"> </w:t>
      </w:r>
      <w:r>
        <w:t xml:space="preserve">does not reverse or substantially alter the OANC finding. Remaining</w:t>
      </w:r>
      <w:r>
        <w:t xml:space="preserve"> </w:t>
      </w:r>
      <w:r>
        <w:t xml:space="preserve">OOV after fallback is largely proper nouns, non-English borrowings,</w:t>
      </w:r>
      <w:r>
        <w:t xml:space="preserve"> </w:t>
      </w:r>
      <w:r>
        <w:t xml:space="preserve">and tokenization artifacts; we rejected texts with residual OOV rate</w:t>
      </w:r>
      <w:r>
        <w:t xml:space="preserve"> </w:t>
      </w:r>
      <w:r>
        <w:t xml:space="preserve">above 15%. Mean OOV across retained texts was 1.5–2.9% in the</w:t>
      </w:r>
      <w:r>
        <w:t xml:space="preserve"> </w:t>
      </w:r>
      <w:r>
        <w:t xml:space="preserve">main analysis.</w:t>
      </w:r>
    </w:p>
    <w:bookmarkEnd w:id="61"/>
    <w:bookmarkStart w:id="62" w:name="sentence-boundary-fragility-on-spgc."/>
    <w:p>
      <w:pPr>
        <w:pStyle w:val="Heading4"/>
      </w:pPr>
      <w:r>
        <w:t xml:space="preserve">Sentence boundary fragility on SPGC.</w:t>
      </w:r>
    </w:p>
    <w:p>
      <w:pPr>
        <w:pStyle w:val="FirstParagraph"/>
      </w:pPr>
      <w:r>
        <w:t xml:space="preserve">SPGC ships as a</w:t>
      </w:r>
      <w:r>
        <w:t xml:space="preserve"> </w:t>
      </w:r>
      <w:r>
        <w:t xml:space="preserve">one-token-per-line stream with all punctuation (including sentence-</w:t>
      </w:r>
      <w:r>
        <w:t xml:space="preserve"> </w:t>
      </w:r>
      <w:r>
        <w:t xml:space="preserve">ending marks) stripped; the token stream does not support sentence</w:t>
      </w:r>
      <w:r>
        <w:t xml:space="preserve"> </w:t>
      </w:r>
      <w:r>
        <w:t xml:space="preserve">recovery via any standard segmenter. We computed FK on SPGC using a</w:t>
      </w:r>
      <w:r>
        <w:t xml:space="preserve"> </w:t>
      </w:r>
      <w:r>
        <w:t xml:space="preserve">constant</w:t>
      </w:r>
      <w:r>
        <w:t xml:space="preserve"> </w:t>
      </w:r>
      <m:oMath>
        <m:bar>
          <m:barPr>
            <m:pos m:val="top"/>
          </m:barPr>
          <m:e>
            <m:sSub>
              <m:e>
                <m:r>
                  <m:rPr>
                    <m:sty m:val="p"/>
                  </m:rPr>
                  <m:t>ℓ</m:t>
                </m:r>
              </m:e>
              <m:sub>
                <m:r>
                  <m:t>s</m:t>
                </m:r>
              </m:sub>
            </m:sSub>
          </m:e>
        </m:bar>
        <m:r>
          <m:rPr>
            <m:sty m:val="p"/>
          </m:rPr>
          <m:t>=</m:t>
        </m:r>
        <m:r>
          <m:t>20</m:t>
        </m:r>
      </m:oMath>
      <w:r>
        <w:t xml:space="preserve"> </w:t>
      </w:r>
      <w:r>
        <w:t xml:space="preserve">heuristic. Algebraically this reduces</w:t>
      </w:r>
      <w:r>
        <w:t xml:space="preserve"> </w:t>
      </w:r>
      <w:r>
        <w:t xml:space="preserve">FK to</w:t>
      </w:r>
      <w:r>
        <w:t xml:space="preserve"> </w:t>
      </w:r>
      <m:oMath>
        <m:r>
          <m:t>11.8</m:t>
        </m:r>
        <m:r>
          <m:t> </m:t>
        </m:r>
        <m:bar>
          <m:barPr>
            <m:pos m:val="top"/>
          </m:barPr>
          <m:e>
            <m:sSub>
              <m:e>
                <m:r>
                  <m:rPr>
                    <m:sty m:val="p"/>
                  </m:rPr>
                  <m:t>ℓ</m:t>
                </m:r>
              </m:e>
              <m:sub>
                <m:r>
                  <m:t>w</m:t>
                </m:r>
              </m:sub>
            </m:sSub>
          </m:e>
        </m:bar>
        <m:r>
          <m:rPr>
            <m:sty m:val="p"/>
          </m:rPr>
          <m:t>−</m:t>
        </m:r>
        <m:r>
          <m:t>7.79</m:t>
        </m:r>
      </m:oMath>
      <w:r>
        <w:t xml:space="preserve">, a linear transform of mean</w:t>
      </w:r>
      <w:r>
        <w:t xml:space="preserve"> </w:t>
      </w:r>
      <w:r>
        <w:t xml:space="preserve">syllables per word. The T2 comparison on SPGC is therefore between</w:t>
      </w:r>
      <w:r>
        <w:t xml:space="preserve"> </w:t>
      </w:r>
      <w:r>
        <w:t xml:space="preserve">schwa density and syllables-per-word in disguise, not against</w:t>
      </w:r>
      <w:r>
        <w:t xml:space="preserve"> </w:t>
      </w:r>
      <w:r>
        <w:t xml:space="preserve">“real”</w:t>
      </w:r>
      <w:r>
        <w:t xml:space="preserve"> </w:t>
      </w:r>
      <w:r>
        <w:t xml:space="preserve">Flesch–Kincaid.</w:t>
      </w:r>
    </w:p>
    <w:p>
      <w:pPr>
        <w:pStyle w:val="BodyText"/>
      </w:pPr>
      <w:r>
        <w:t xml:space="preserve">To validate that the</w:t>
      </w:r>
      <w:r>
        <w:t xml:space="preserve"> </w:t>
      </w:r>
      <m:oMath>
        <m:bar>
          <m:barPr>
            <m:pos m:val="top"/>
          </m:barPr>
          <m:e>
            <m:sSub>
              <m:e>
                <m:r>
                  <m:rPr>
                    <m:sty m:val="p"/>
                  </m:rPr>
                  <m:t>ℓ</m:t>
                </m:r>
              </m:e>
              <m:sub>
                <m:r>
                  <m:t>s</m:t>
                </m:r>
              </m:sub>
            </m:sSub>
          </m:e>
        </m:bar>
        <m:r>
          <m:rPr>
            <m:sty m:val="p"/>
          </m:rPr>
          <m:t>=</m:t>
        </m:r>
        <m:r>
          <m:t>20</m:t>
        </m:r>
      </m:oMath>
      <w:r>
        <w:t xml:space="preserve"> </w:t>
      </w:r>
      <w:r>
        <w:t xml:space="preserve">constant was at least</w:t>
      </w:r>
      <w:r>
        <w:t xml:space="preserve"> </w:t>
      </w:r>
      <w:r>
        <w:t xml:space="preserve">an empirically defensible choice of constant, we ran</w:t>
      </w:r>
      <w:r>
        <w:t xml:space="preserve"> </w:t>
      </w:r>
      <w:r>
        <w:rPr>
          <w:rStyle w:val="VerbatimChar"/>
        </w:rPr>
        <w:t xml:space="preserve">punkt</w:t>
      </w:r>
      <w:r>
        <w:t xml:space="preserve"> </w:t>
      </w:r>
      <w:r>
        <w:t xml:space="preserve">sentence segmentation on NLTK’s bundled Project Gutenberg sample</w:t>
      </w:r>
      <w:r>
        <w:t xml:space="preserve"> </w:t>
      </w:r>
      <w:r>
        <w:t xml:space="preserve">(18 books, full punctuation intact; see</w:t>
      </w:r>
      <w:r>
        <w:t xml:space="preserve"> </w:t>
      </w:r>
      <w:r>
        <w:rPr>
          <w:rStyle w:val="VerbatimChar"/>
        </w:rPr>
        <w:t xml:space="preserve">sentence_length_validation.csv</w:t>
      </w:r>
      <w:r>
        <w:t xml:space="preserve">). Mean sentence length</w:t>
      </w:r>
      <w:r>
        <w:t xml:space="preserve"> </w:t>
      </w:r>
      <w:r>
        <w:t xml:space="preserve">across books has mean 20.23, median 18.33, and standard deviation</w:t>
      </w:r>
      <w:r>
        <w:t xml:space="preserve"> </w:t>
      </w:r>
      <w:r>
        <w:t xml:space="preserve">7.45, with 67% of books in [15, 25] words per sentence. The</w:t>
      </w:r>
      <w:r>
        <w:t xml:space="preserve"> </w:t>
      </w:r>
      <w:r>
        <w:t xml:space="preserve">heuristic sits at the 61st percentile of the empirical distribution.</w:t>
      </w:r>
      <w:r>
        <w:t xml:space="preserve"> </w:t>
      </w:r>
      <w:r>
        <w:t xml:space="preserve">This does not repair the FK degeneracy on SPGC — a per-text</w:t>
      </w:r>
      <w:r>
        <w:t xml:space="preserve"> </w:t>
      </w:r>
      <w:r>
        <w:t xml:space="preserve">constant still collapses FK to a syllables-per-word linear transform</w:t>
      </w:r>
      <w:r>
        <w:t xml:space="preserve"> </w:t>
      </w:r>
      <w:r>
        <w:t xml:space="preserve">— but it does establish that the constant is not arbitrarily chosen</w:t>
      </w:r>
      <w:r>
        <w:t xml:space="preserve"> </w:t>
      </w:r>
      <w:r>
        <w:t xml:space="preserve">and that the bias on T2 is bounded.</w:t>
      </w:r>
    </w:p>
    <w:p>
      <w:pPr>
        <w:pStyle w:val="BodyText"/>
      </w:pPr>
      <w:r>
        <w:t xml:space="preserve">We flag the SPGC T2 result as exploratory rather than hide it. The</w:t>
      </w:r>
      <w:r>
        <w:t xml:space="preserve"> </w:t>
      </w:r>
      <w:r>
        <w:t xml:space="preserve">phonological-grounding claim of this paper does not rely on it. It</w:t>
      </w:r>
      <w:r>
        <w:t xml:space="preserve"> </w:t>
      </w:r>
      <w:r>
        <w:t xml:space="preserve">rests on (i) T1 on SPGC (</w:t>
      </w:r>
      <m:oMath>
        <m:sSup>
          <m:e>
            <m:r>
              <m:t>η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0.365</m:t>
        </m:r>
      </m:oMath>
      <w:r>
        <w:t xml:space="preserve">, untouched by the FK</w:t>
      </w:r>
      <w:r>
        <w:t xml:space="preserve"> </w:t>
      </w:r>
      <w:r>
        <w:t xml:space="preserve">issue); (ii) the function-word ablation (§</w:t>
      </w:r>
      <w:hyperlink w:anchor="sec:ablation">
        <w:r>
          <w:rPr>
            <w:rStyle w:val="Hyperlink"/>
          </w:rPr>
          <w:t xml:space="preserve">3.3</w:t>
        </w:r>
      </w:hyperlink>
      <w:r>
        <w:t xml:space="preserve">), which</w:t>
      </w:r>
      <w:r>
        <w:t xml:space="preserve"> </w:t>
      </w:r>
      <w:r>
        <w:t xml:space="preserve">establishes that schwa density is not a stopword-frequency proxy on</w:t>
      </w:r>
      <w:r>
        <w:t xml:space="preserve"> </w:t>
      </w:r>
      <w:r>
        <w:t xml:space="preserve">any corpus; and (iii) joint partial-</w:t>
      </w:r>
      <m:oMath>
        <m:sSup>
          <m:e>
            <m:r>
              <m:t>η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retention</w:t>
      </w:r>
      <w:r>
        <w:t xml:space="preserve"> </w:t>
      </w:r>
      <w:r>
        <w:t xml:space="preserve">(§</w:t>
      </w:r>
      <w:hyperlink w:anchor="sec:partial-joint">
        <w:r>
          <w:rPr>
            <w:rStyle w:val="Hyperlink"/>
          </w:rPr>
          <w:t xml:space="preserve">3.4</w:t>
        </w:r>
      </w:hyperlink>
      <w:r>
        <w:t xml:space="preserve">) on NLTK_multi and Brown, where sentence</w:t>
      </w:r>
      <w:r>
        <w:t xml:space="preserve"> </w:t>
      </w:r>
      <w:r>
        <w:t xml:space="preserve">boundaries are intact and FK is not crippled. A principled fix for</w:t>
      </w:r>
      <w:r>
        <w:t xml:space="preserve"> </w:t>
      </w:r>
      <w:r>
        <w:t xml:space="preserve">SPGC would require downloading the raw Project Gutenberg sources and</w:t>
      </w:r>
      <w:r>
        <w:t xml:space="preserve"> </w:t>
      </w:r>
      <w:r>
        <w:t xml:space="preserve">re-tokenising with sentence boundaries preserved; we treat this as</w:t>
      </w:r>
      <w:r>
        <w:t xml:space="preserve"> </w:t>
      </w:r>
      <w:r>
        <w:t xml:space="preserve">future work.</w:t>
      </w:r>
    </w:p>
    <w:bookmarkEnd w:id="62"/>
    <w:bookmarkStart w:id="63" w:name="register-taxonomy-choice."/>
    <w:p>
      <w:pPr>
        <w:pStyle w:val="Heading4"/>
      </w:pPr>
      <w:r>
        <w:t xml:space="preserve">Register taxonomy choice.</w:t>
      </w:r>
    </w:p>
    <w:p>
      <w:pPr>
        <w:pStyle w:val="FirstParagraph"/>
      </w:pPr>
      <w:r>
        <w:t xml:space="preserve">The SPGC stratification was forced</w:t>
      </w:r>
      <w:r>
        <w:t xml:space="preserve"> </w:t>
      </w:r>
      <w:r>
        <w:t xml:space="preserve">to use LCSH-derived buckets because the SPGC metadata file does not</w:t>
      </w:r>
      <w:r>
        <w:t xml:space="preserve"> </w:t>
      </w:r>
      <w:r>
        <w:t xml:space="preserve">include LCC classification codes. The bucket assignments are documented</w:t>
      </w:r>
      <w:r>
        <w:t xml:space="preserve"> </w:t>
      </w:r>
      <w:r>
        <w:t xml:space="preserve">in the supplementary deviation log.</w:t>
      </w:r>
    </w:p>
    <w:bookmarkEnd w:id="63"/>
    <w:bookmarkStart w:id="64" w:name="Xfb6f14f73c0607b78275ba469a5db63e182935f"/>
    <w:p>
      <w:pPr>
        <w:pStyle w:val="Heading4"/>
      </w:pPr>
      <w:r>
        <w:t xml:space="preserve">Reproducibility caveat across NLTK/CMUdict versions.</w:t>
      </w:r>
    </w:p>
    <w:p>
      <w:pPr>
        <w:pStyle w:val="FirstParagraph"/>
      </w:pPr>
      <w:r>
        <w:t xml:space="preserve">Different NLTK versions and CMUdict snapshots can produce small</w:t>
      </w:r>
      <w:r>
        <w:t xml:space="preserve"> </w:t>
      </w:r>
      <w:r>
        <w:t xml:space="preserve">disagreements in word–phoneme mappings. The Brown validation gate</w:t>
      </w:r>
      <w:r>
        <w:t xml:space="preserve"> </w:t>
      </w:r>
      <w:r>
        <w:t xml:space="preserve">reproduces the prior</w:t>
      </w:r>
      <w:r>
        <w:t xml:space="preserve"> </w:t>
      </w:r>
      <m:oMath>
        <m:r>
          <m:t>r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t>0.92</m:t>
        </m:r>
      </m:oMath>
      <w:r>
        <w:t xml:space="preserve"> </w:t>
      </w:r>
      <w:r>
        <w:t xml:space="preserve">reference within 0.005, suggesting</w:t>
      </w:r>
      <w:r>
        <w:t xml:space="preserve"> </w:t>
      </w:r>
      <w:r>
        <w:t xml:space="preserve">version drift is small for this corpus.</w:t>
      </w:r>
    </w:p>
    <w:bookmarkEnd w:id="64"/>
    <w:bookmarkEnd w:id="65"/>
    <w:bookmarkStart w:id="66" w:name="pre-registration-and-open-materials"/>
    <w:p>
      <w:pPr>
        <w:pStyle w:val="Heading1"/>
      </w:pPr>
      <w:r>
        <w:t xml:space="preserve">Pre-registration and open materials</w:t>
      </w:r>
    </w:p>
    <w:p>
      <w:pPr>
        <w:pStyle w:val="FirstParagraph"/>
      </w:pPr>
      <w:r>
        <w:t xml:space="preserve">The pre-registration document, deviation log, analyser source code,</w:t>
      </w:r>
      <w:r>
        <w:t xml:space="preserve"> </w:t>
      </w:r>
      <w:r>
        <w:t xml:space="preserve">test harness, sensitivity-analysis script, per-corpus feature CSVs,</w:t>
      </w:r>
      <w:r>
        <w:t xml:space="preserve"> </w:t>
      </w:r>
      <w:r>
        <w:t xml:space="preserve">and figure-generation script are all published in a single repository</w:t>
      </w:r>
      <w:r>
        <w:t xml:space="preserve"> </w:t>
      </w:r>
      <w:r>
        <w:t xml:space="preserve">(Townsend &amp; Claude, 2026). Bootstrap CIs use</w:t>
      </w:r>
      <w:r>
        <w:t xml:space="preserve"> </w:t>
      </w:r>
      <w:r>
        <w:rPr>
          <w:rStyle w:val="VerbatimChar"/>
        </w:rPr>
        <w:t xml:space="preserve">random_state=42</w:t>
      </w:r>
      <w:r>
        <w:t xml:space="preserve"> </w:t>
      </w:r>
      <w:r>
        <w:t xml:space="preserve">and 1</w:t>
      </w:r>
      <w:r>
        <w:t xml:space="preserve">,</w:t>
      </w:r>
      <w:r>
        <w:t xml:space="preserve">000</w:t>
      </w:r>
      <w:r>
        <w:t xml:space="preserve"> </w:t>
      </w:r>
      <w:r>
        <w:t xml:space="preserve">resamples throughout. Brown, NLTK multi-source, OANC, and SPGC results</w:t>
      </w:r>
      <w:r>
        <w:t xml:space="preserve"> </w:t>
      </w:r>
      <w:r>
        <w:t xml:space="preserve">are fully reproducible from the published scripts; GITenberg results</w:t>
      </w:r>
      <w:r>
        <w:t xml:space="preserve"> </w:t>
      </w:r>
      <w:r>
        <w:t xml:space="preserve">in earlier reporting are taken from the prior session and were not</w:t>
      </w:r>
      <w:r>
        <w:t xml:space="preserve"> </w:t>
      </w:r>
      <w:r>
        <w:t xml:space="preserve">re-verified in this analysis.</w:t>
      </w:r>
    </w:p>
    <w:bookmarkEnd w:id="66"/>
    <w:bookmarkStart w:id="71" w:name="conclusion"/>
    <w:p>
      <w:pPr>
        <w:pStyle w:val="Heading1"/>
      </w:pPr>
      <w:r>
        <w:t xml:space="preserve">Conclusion</w:t>
      </w:r>
    </w:p>
    <w:p>
      <w:pPr>
        <w:pStyle w:val="FirstParagraph"/>
      </w:pPr>
      <w:r>
        <w:t xml:space="preserve">Schwa density is a phonologically grounded single-feature register</w:t>
      </w:r>
      <w:r>
        <w:t xml:space="preserve"> </w:t>
      </w:r>
      <w:r>
        <w:t xml:space="preserve">classifier that operates in two distinguishable regimes. As a</w:t>
      </w:r>
      <w:r>
        <w:t xml:space="preserve"> </w:t>
      </w:r>
      <w:r>
        <w:rPr>
          <w:i/>
          <w:iCs/>
        </w:rPr>
        <w:t xml:space="preserve">Primary Stylistic Feature</w:t>
      </w:r>
      <w:r>
        <w:t xml:space="preserve"> </w:t>
      </w:r>
      <w:r>
        <w:t xml:space="preserve">(NLTK_multi, SPGC, Brown), schwa</w:t>
      </w:r>
      <w:r>
        <w:t xml:space="preserve"> </w:t>
      </w:r>
      <w:r>
        <w:t xml:space="preserve">density discriminates within-prose register variation through</w:t>
      </w:r>
      <w:r>
        <w:t xml:space="preserve"> </w:t>
      </w:r>
      <w:r>
        <w:t xml:space="preserve">content-word phonology: it matches or exceeds Flesch–Kincaid, retains</w:t>
      </w:r>
      <w:r>
        <w:t xml:space="preserve"> </w:t>
      </w:r>
      <w:r>
        <w:t xml:space="preserve">46–53% of its signal after joint surface-lexical controls, and</w:t>
      </w:r>
      <w:r>
        <w:t xml:space="preserve"> </w:t>
      </w:r>
      <w:r>
        <w:rPr>
          <w:i/>
          <w:iCs/>
        </w:rPr>
        <w:t xml:space="preserve">gains</w:t>
      </w:r>
      <w:r>
        <w:t xml:space="preserve"> </w:t>
      </w:r>
      <w:r>
        <w:t xml:space="preserve">discrimination under function-word masking (retention</w:t>
      </w:r>
      <w:r>
        <w:t xml:space="preserve"> </w:t>
      </w:r>
      <w:r>
        <w:t xml:space="preserve">1.19–1.27). As a</w:t>
      </w:r>
      <w:r>
        <w:t xml:space="preserve"> </w:t>
      </w:r>
      <w:r>
        <w:rPr>
          <w:i/>
          <w:iCs/>
        </w:rPr>
        <w:t xml:space="preserve">Secondary Modality Feature</w:t>
      </w:r>
      <w:r>
        <w:t xml:space="preserve"> </w:t>
      </w:r>
      <w:r>
        <w:t xml:space="preserve">(OANC), schwa</w:t>
      </w:r>
      <w:r>
        <w:t xml:space="preserve"> </w:t>
      </w:r>
      <w:r>
        <w:t xml:space="preserve">density still discriminates register at high</w:t>
      </w:r>
      <w:r>
        <w:t xml:space="preserve"> </w:t>
      </w:r>
      <m:oMath>
        <m:sSup>
          <m:e>
            <m:r>
              <m:t>η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but is</w:t>
      </w:r>
      <w:r>
        <w:t xml:space="preserve"> </w:t>
      </w:r>
      <w:r>
        <w:t xml:space="preserve">partially shared with function-word frequency on the speech–writing</w:t>
      </w:r>
      <w:r>
        <w:t xml:space="preserve"> </w:t>
      </w:r>
      <w:r>
        <w:t xml:space="preserve">axis (retention 0.93); mean syllables per word does comparable work.</w:t>
      </w:r>
    </w:p>
    <w:p>
      <w:pPr>
        <w:pStyle w:val="BodyText"/>
      </w:pPr>
      <w:r>
        <w:t xml:space="preserve">The function-word ablation rules out the most natural confound —</w:t>
      </w:r>
      <w:r>
        <w:t xml:space="preserve"> </w:t>
      </w:r>
      <w:r>
        <w:t xml:space="preserve">that schwa density is a stopword-frequency proxy — on all four</w:t>
      </w:r>
      <w:r>
        <w:t xml:space="preserve"> </w:t>
      </w:r>
      <w:r>
        <w:t xml:space="preserve">corpora. The signal lives in the content-word lexicon. The measure’s</w:t>
      </w:r>
      <w:r>
        <w:t xml:space="preserve"> </w:t>
      </w:r>
      <w:r>
        <w:t xml:space="preserve">practical niche is register classification on token-stream corpora,</w:t>
      </w:r>
      <w:r>
        <w:t xml:space="preserve"> </w:t>
      </w:r>
      <w:r>
        <w:t xml:space="preserve">verse, dialogue-heavy fiction, or other contexts where sentence</w:t>
      </w:r>
      <w:r>
        <w:t xml:space="preserve"> </w:t>
      </w:r>
      <w:r>
        <w:t xml:space="preserve">boundaries are unreliable, and as a phonologically grounded comparator</w:t>
      </w:r>
      <w:r>
        <w:t xml:space="preserve"> </w:t>
      </w:r>
      <w:r>
        <w:t xml:space="preserve">for stylometric work that wishes to look beyond surface lexical</w:t>
      </w:r>
      <w:r>
        <w:t xml:space="preserve"> </w:t>
      </w:r>
      <w:r>
        <w:t xml:space="preserve">features.</w:t>
      </w:r>
    </w:p>
    <w:p>
      <w:pPr>
        <w:pStyle w:val="BodyText"/>
      </w:pPr>
      <w:r>
        <w:t xml:space="preserve">99</w:t>
      </w:r>
    </w:p>
    <w:p>
      <w:pPr>
        <w:pStyle w:val="BodyText"/>
      </w:pPr>
      <w:r>
        <w:t xml:space="preserve">Biber, D. (1988).</w:t>
      </w:r>
      <w:r>
        <w:t xml:space="preserve"> </w:t>
      </w:r>
      <w:r>
        <w:rPr>
          <w:i/>
          <w:iCs/>
        </w:rPr>
        <w:t xml:space="preserve">Variation across speech and writing</w:t>
      </w:r>
      <w:r>
        <w:t xml:space="preserve">.</w:t>
      </w:r>
      <w:r>
        <w:t xml:space="preserve"> </w:t>
      </w:r>
      <w:r>
        <w:t xml:space="preserve">Cambridge University Press.</w:t>
      </w:r>
    </w:p>
    <w:p>
      <w:pPr>
        <w:pStyle w:val="BodyText"/>
      </w:pPr>
      <w:r>
        <w:t xml:space="preserve">Bird, S., Klein, E., &amp; Loper, E. (2009).</w:t>
      </w:r>
      <w:r>
        <w:t xml:space="preserve"> </w:t>
      </w:r>
      <w:r>
        <w:rPr>
          <w:i/>
          <w:iCs/>
        </w:rPr>
        <w:t xml:space="preserve">Natural language</w:t>
      </w:r>
      <w:r>
        <w:rPr>
          <w:i/>
          <w:iCs/>
        </w:rPr>
        <w:t xml:space="preserve"> </w:t>
      </w:r>
      <w:r>
        <w:rPr>
          <w:i/>
          <w:iCs/>
        </w:rPr>
        <w:t xml:space="preserve">processing with Python</w:t>
      </w:r>
      <w:r>
        <w:t xml:space="preserve">. O’Reilly.</w:t>
      </w:r>
    </w:p>
    <w:p>
      <w:pPr>
        <w:pStyle w:val="BodyText"/>
      </w:pPr>
      <w:r>
        <w:t xml:space="preserve">CMU Pronouncing Dictionary, version 0.7b. Carnegie Mellon University,</w:t>
      </w:r>
      <w:r>
        <w:t xml:space="preserve"> </w:t>
      </w:r>
      <w:r>
        <w:t xml:space="preserve">1998.</w:t>
      </w:r>
      <w:r>
        <w:t xml:space="preserve"> </w:t>
      </w:r>
      <w:hyperlink r:id="rId67">
        <w:r>
          <w:rPr>
            <w:rStyle w:val="Hyperlink"/>
          </w:rPr>
          <w:t xml:space="preserve">http://www.speech.cs.cmu.edu/cgi-bin/cmudict</w:t>
        </w:r>
      </w:hyperlink>
      <w:r>
        <w:t xml:space="preserve">.</w:t>
      </w:r>
    </w:p>
    <w:p>
      <w:pPr>
        <w:pStyle w:val="BodyText"/>
      </w:pPr>
      <w:r>
        <w:t xml:space="preserve">Gerlach, M., &amp; Font-Clos, F. (2020). A standardized Project Gutenberg</w:t>
      </w:r>
      <w:r>
        <w:t xml:space="preserve"> </w:t>
      </w:r>
      <w:r>
        <w:t xml:space="preserve">corpus for statistical analysis of natural language and quantitative</w:t>
      </w:r>
      <w:r>
        <w:t xml:space="preserve"> </w:t>
      </w:r>
      <w:r>
        <w:t xml:space="preserve">linguistics.</w:t>
      </w:r>
      <w:r>
        <w:t xml:space="preserve"> </w:t>
      </w:r>
      <w:r>
        <w:rPr>
          <w:i/>
          <w:iCs/>
        </w:rPr>
        <w:t xml:space="preserve">Entropy</w:t>
      </w:r>
      <w:r>
        <w:t xml:space="preserve">, 22(1), 126.</w:t>
      </w:r>
    </w:p>
    <w:p>
      <w:pPr>
        <w:pStyle w:val="BodyText"/>
      </w:pPr>
      <w:r>
        <w:t xml:space="preserve">Grieve, J., Clarke, I., &amp; Chiang, E. (2023). Lexical and grammatical</w:t>
      </w:r>
      <w:r>
        <w:t xml:space="preserve"> </w:t>
      </w:r>
      <w:r>
        <w:t xml:space="preserve">register variation across writing styles.</w:t>
      </w:r>
      <w:r>
        <w:t xml:space="preserve"> </w:t>
      </w:r>
      <w:r>
        <w:rPr>
          <w:i/>
          <w:iCs/>
        </w:rPr>
        <w:t xml:space="preserve">Corpora</w:t>
      </w:r>
      <w:r>
        <w:t xml:space="preserve">, 18(1).</w:t>
      </w:r>
    </w:p>
    <w:p>
      <w:pPr>
        <w:pStyle w:val="BodyText"/>
      </w:pPr>
      <w:r>
        <w:t xml:space="preserve">Ide, N., &amp; Suderman, K. (2007). The Open American National Corpus</w:t>
      </w:r>
      <w:r>
        <w:t xml:space="preserve"> </w:t>
      </w:r>
      <w:r>
        <w:t xml:space="preserve">(OANC).</w:t>
      </w:r>
      <w:r>
        <w:t xml:space="preserve"> </w:t>
      </w:r>
      <w:hyperlink r:id="rId68">
        <w:r>
          <w:rPr>
            <w:rStyle w:val="Hyperlink"/>
          </w:rPr>
          <w:t xml:space="preserve">http://www.anc.org</w:t>
        </w:r>
      </w:hyperlink>
      <w:r>
        <w:t xml:space="preserve">.</w:t>
      </w:r>
    </w:p>
    <w:p>
      <w:pPr>
        <w:pStyle w:val="BodyText"/>
      </w:pPr>
      <w:r>
        <w:t xml:space="preserve">Kincaid, J. P., Fishburne, R. P., Rogers, R. L., &amp; Chissom, B. S.</w:t>
      </w:r>
      <w:r>
        <w:t xml:space="preserve"> </w:t>
      </w:r>
      <w:r>
        <w:t xml:space="preserve">(1975). Derivation of new readability formulas (Automated Readability</w:t>
      </w:r>
      <w:r>
        <w:t xml:space="preserve"> </w:t>
      </w:r>
      <w:r>
        <w:t xml:space="preserve">Index, Fog Count and Flesch Reading Ease Formula) for Navy enlisted</w:t>
      </w:r>
      <w:r>
        <w:t xml:space="preserve"> </w:t>
      </w:r>
      <w:r>
        <w:t xml:space="preserve">personnel. Naval Technical Training Command, Research Branch</w:t>
      </w:r>
      <w:r>
        <w:t xml:space="preserve"> </w:t>
      </w:r>
      <w:r>
        <w:t xml:space="preserve">Report 8-75.</w:t>
      </w:r>
    </w:p>
    <w:p>
      <w:pPr>
        <w:pStyle w:val="BodyText"/>
      </w:pPr>
      <w:r>
        <w:t xml:space="preserve">Lakens, D. (2022).</w:t>
      </w:r>
      <w:r>
        <w:t xml:space="preserve"> </w:t>
      </w:r>
      <w:r>
        <w:rPr>
          <w:i/>
          <w:iCs/>
        </w:rPr>
        <w:t xml:space="preserve">Improving your statistical inferences</w:t>
      </w:r>
      <w:r>
        <w:t xml:space="preserve">.</w:t>
      </w:r>
      <w:r>
        <w:t xml:space="preserve"> </w:t>
      </w:r>
      <w:hyperlink r:id="rId69">
        <w:r>
          <w:rPr>
            <w:rStyle w:val="Hyperlink"/>
          </w:rPr>
          <w:t xml:space="preserve">https://lakens.github.io/statistical_inferences/</w:t>
        </w:r>
      </w:hyperlink>
      <w:r>
        <w:t xml:space="preserve">.</w:t>
      </w:r>
    </w:p>
    <w:p>
      <w:pPr>
        <w:pStyle w:val="BodyText"/>
      </w:pPr>
      <w:r>
        <w:t xml:space="preserve">Library of Congress Subject Headings. Library of Congress, Cataloging</w:t>
      </w:r>
      <w:r>
        <w:t xml:space="preserve"> </w:t>
      </w:r>
      <w:r>
        <w:t xml:space="preserve">Distribution Service.</w:t>
      </w:r>
    </w:p>
    <w:p>
      <w:pPr>
        <w:pStyle w:val="BodyText"/>
      </w:pPr>
      <w:r>
        <w:t xml:space="preserve">McLaughlin, G. H. (1969). SMOG grading – A new readability formula.</w:t>
      </w:r>
      <w:r>
        <w:t xml:space="preserve"> </w:t>
      </w:r>
      <w:r>
        <w:rPr>
          <w:i/>
          <w:iCs/>
        </w:rPr>
        <w:t xml:space="preserve">Journal of Reading</w:t>
      </w:r>
      <w:r>
        <w:t xml:space="preserve">, 12(8), 639–646.</w:t>
      </w:r>
    </w:p>
    <w:p>
      <w:pPr>
        <w:pStyle w:val="BodyText"/>
      </w:pPr>
      <w:r>
        <w:t xml:space="preserve">Plecháč, P. (2021). Versification and authorship attribution.</w:t>
      </w:r>
      <w:r>
        <w:t xml:space="preserve"> </w:t>
      </w:r>
      <w:r>
        <w:rPr>
          <w:i/>
          <w:iCs/>
        </w:rPr>
        <w:t xml:space="preserve">Karolinum Press</w:t>
      </w:r>
      <w:r>
        <w:t xml:space="preserve">.</w:t>
      </w:r>
    </w:p>
    <w:p>
      <w:pPr>
        <w:pStyle w:val="BodyText"/>
      </w:pPr>
      <w:r>
        <w:t xml:space="preserve">Townsend, K., &amp; Claude (2026). Schwa density replication study –</w:t>
      </w:r>
      <w:r>
        <w:t xml:space="preserve"> </w:t>
      </w:r>
      <w:r>
        <w:t xml:space="preserve">materials, code, and pre-registration.</w:t>
      </w:r>
      <w:r>
        <w:t xml:space="preserve"> </w:t>
      </w:r>
      <w:hyperlink r:id="rId70">
        <w:r>
          <w:rPr>
            <w:rStyle w:val="Hyperlink"/>
          </w:rPr>
          <w:t xml:space="preserve">https://github.com/[placeholder]/schwa-density-spgc</w:t>
        </w:r>
      </w:hyperlink>
      <w:r>
        <w:t xml:space="preserve">.</w:t>
      </w:r>
    </w:p>
    <w:p>
      <w:pPr>
        <w:pStyle w:val="BodyText"/>
      </w:pPr>
      <w:r>
        <w:t xml:space="preserve">Simonsohn, U. (2015). Small telescopes: Detectability and the</w:t>
      </w:r>
      <w:r>
        <w:t xml:space="preserve"> </w:t>
      </w:r>
      <w:r>
        <w:t xml:space="preserve">evaluation of replication results.</w:t>
      </w:r>
      <w:r>
        <w:t xml:space="preserve"> </w:t>
      </w:r>
      <w:r>
        <w:rPr>
          <w:i/>
          <w:iCs/>
        </w:rPr>
        <w:t xml:space="preserve">Psychological Science</w:t>
      </w:r>
      <w:r>
        <w:t xml:space="preserve">,</w:t>
      </w:r>
      <w:r>
        <w:t xml:space="preserve"> </w:t>
      </w:r>
      <w:r>
        <w:t xml:space="preserve">26(5), 559–569.</w:t>
      </w:r>
    </w:p>
    <w:p>
      <w:pPr>
        <w:pStyle w:val="BodyText"/>
      </w:pPr>
      <w:r>
        <w:t xml:space="preserve">Treiman, R., Kessler, B., &amp; Caravolas, M. (2019). The role of</w:t>
      </w:r>
      <w:r>
        <w:t xml:space="preserve"> </w:t>
      </w:r>
      <w:r>
        <w:t xml:space="preserve">phonotactics in spelling: Evidence from data on the spelling of</w:t>
      </w:r>
      <w:r>
        <w:t xml:space="preserve"> </w:t>
      </w:r>
      <w:r>
        <w:t xml:space="preserve">unstressed vowels.</w:t>
      </w:r>
      <w:r>
        <w:t xml:space="preserve"> </w:t>
      </w:r>
      <w:r>
        <w:rPr>
          <w:i/>
          <w:iCs/>
        </w:rPr>
        <w:t xml:space="preserve">Journal of Memory and Language</w:t>
      </w:r>
      <w:r>
        <w:t xml:space="preserve">, 105, 14–26.</w:t>
      </w:r>
    </w:p>
    <w:bookmarkEnd w:id="7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  <w:footnote w:id="2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Words missing from CMUdict are excluded from</w:t>
      </w:r>
      <w:r>
        <w:t xml:space="preserve"> </w:t>
      </w:r>
      <w:r>
        <w:t xml:space="preserve">the count; texts with OOV rate above 15% are rejected as likely</w:t>
      </w:r>
      <w:r>
        <w:t xml:space="preserve"> </w:t>
      </w:r>
      <w:r>
        <w:t xml:space="preserve">non-English or pathologically tokenised.</w:t>
      </w:r>
    </w:p>
  </w:footnote>
  <w:footnote w:id="4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NLTK’s</w:t>
      </w:r>
      <w:r>
        <w:t xml:space="preserve"> </w:t>
      </w:r>
      <w:r>
        <w:rPr>
          <w:rStyle w:val="VerbatimChar"/>
        </w:rPr>
        <w:t xml:space="preserve">stopwords.words(’english’)</w:t>
      </w:r>
      <w:r>
        <w:t xml:space="preserve"> </w:t>
      </w:r>
      <w:r>
        <w:t xml:space="preserve">list,</w:t>
      </w:r>
      <w:r>
        <w:t xml:space="preserve"> </w:t>
      </w:r>
      <w:r>
        <w:t xml:space="preserve">which includes all high-frequency function words (determiners,</w:t>
      </w:r>
      <w:r>
        <w:t xml:space="preserve"> </w:t>
      </w:r>
      <w:r>
        <w:t xml:space="preserve">auxiliaries, pronouns, prepositions, conjunctions, and contracted</w:t>
      </w:r>
      <w:r>
        <w:t xml:space="preserve"> </w:t>
      </w:r>
      <w:r>
        <w:t xml:space="preserve">negations). We use the full list rather than an arbitrary top-50 cut</w:t>
      </w:r>
      <w:r>
        <w:t xml:space="preserve"> </w:t>
      </w:r>
      <w:r>
        <w:t xml:space="preserve">so the mask is more aggressive than a reviewer-suggested minimum.</w:t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31" Target="media/rId31.png" /><Relationship Type="http://schemas.openxmlformats.org/officeDocument/2006/relationships/image" Id="rId36" Target="media/rId36.png" /><Relationship Type="http://schemas.openxmlformats.org/officeDocument/2006/relationships/image" Id="rId43" Target="media/rId43.png" /><Relationship Type="http://schemas.openxmlformats.org/officeDocument/2006/relationships/hyperlink" Id="rId68" Target="http://www.anc.org" TargetMode="External" /><Relationship Type="http://schemas.openxmlformats.org/officeDocument/2006/relationships/hyperlink" Id="rId67" Target="http://www.speech.cs.cmu.edu/cgi-bin/cmudict" TargetMode="External" /><Relationship Type="http://schemas.openxmlformats.org/officeDocument/2006/relationships/hyperlink" Id="rId70" Target="https://github.com/[placeholder]/schwa-density-spgc" TargetMode="External" /><Relationship Type="http://schemas.openxmlformats.org/officeDocument/2006/relationships/hyperlink" Id="rId69" Target="https://lakens.github.io/statistical_inferences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68" Target="http://www.anc.org" TargetMode="External" /><Relationship Type="http://schemas.openxmlformats.org/officeDocument/2006/relationships/hyperlink" Id="rId67" Target="http://www.speech.cs.cmu.edu/cgi-bin/cmudict" TargetMode="External" /><Relationship Type="http://schemas.openxmlformats.org/officeDocument/2006/relationships/hyperlink" Id="rId70" Target="https://github.com/[placeholder]/schwa-density-spgc" TargetMode="External" /><Relationship Type="http://schemas.openxmlformats.org/officeDocument/2006/relationships/hyperlink" Id="rId69" Target="https://lakens.github.io/statistical_inferences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Schwa Density as a Phonological Stylistic Classifier: Primary Stylistic, Secondary Modality A Four-Corpus Pre-Registered Replication</dc:title>
  <dc:creator>Kyle Townsend; Claude (analysis collaborator)</dc:creator>
  <cp:keywords/>
  <dcterms:created xsi:type="dcterms:W3CDTF">2026-04-16T16:26:27Z</dcterms:created>
  <dcterms:modified xsi:type="dcterms:W3CDTF">2026-04-16T16:26:27Z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bstract">
    <vt:lpwstr>We test whether schwa density, the proportion of vowel phones in a text that are unstressed schwa (CMUdict AH0), can serve as a phonologically motivated single-feature register classifier in English text. A pre-registered confirmatory plan locking three hypothesis tests (minimum effect, non-inferiority versus Flesch–Kincaid grade level, and correlation replication) was applied to two pre-registered corpora and two additional sensitivity corpora: NLTK multi-source (N{=}164), the Standardized Project Gutenberg Corpus (N{=}2{,}767), the Brown corpus (N{=}313 qualifying), and the Open American National Corpus (N{=}4{,}375). Both pre-registered confirmatory tests passed: schwa density discriminated registers above the crud floor and matched Flesch–Kincaid within the pre-specified non-inferiority margin. Joint partial-\eta^2 controls for syllables per word, mean word length, and Latinate ratio show that schwa retains 46–53% of its register-discrimination on the two pre-registered corpora even after absorbing surface lexical signal, supporting the stronger phonological content claim. A function-word ablation (masking the 198 NLTK English stopwords before computing schwa density) preserves or amplifies register discrimination on all four corpora (\eta^2 retention 0.93–1.27), ruling out function-word frequency as a confound. The ablation result formalises the paper’s principal finding: schwa density operates as a Primary Stylistic Feature (NLTK, SPGC, Brown; content-word phonological variation, unmasked by stopword removal) and as a Secondary Modality Feature (OANC; partially dependent on function-word frequency, slightly attenuated by masking). The measure is most valuable for within-prose stylistic discrimination and degrades to a syllables-per-word proxy when register variation reflects cross-modality contrasts (speech versus technical writing).</vt:lpwstr>
  </property>
  <property fmtid="{D5CDD505-2E9C-101B-9397-08002B2CF9AE}" pid="3" name="date">
    <vt:lpwstr>2026-04-16</vt:lpwstr>
  </property>
</Properties>
</file>